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04A" w:rsidRPr="00FC559E" w:rsidRDefault="006911CD">
      <w:pPr>
        <w:jc w:val="center"/>
        <w:rPr>
          <w:rFonts w:ascii="仿宋_GB2312" w:eastAsia="仿宋_GB2312" w:hAnsi="仿宋_GB2312" w:cs="仿宋_GB2312"/>
          <w:b/>
          <w:sz w:val="32"/>
          <w:szCs w:val="32"/>
        </w:rPr>
      </w:pPr>
      <w:r w:rsidRPr="00FC559E">
        <w:rPr>
          <w:rFonts w:ascii="仿宋_GB2312" w:eastAsia="仿宋_GB2312" w:hAnsi="仿宋_GB2312" w:cs="仿宋_GB2312" w:hint="eastAsia"/>
          <w:b/>
          <w:sz w:val="32"/>
          <w:szCs w:val="32"/>
        </w:rPr>
        <w:t>项目公示信息</w:t>
      </w:r>
    </w:p>
    <w:p w:rsidR="005E704A" w:rsidRPr="00FC559E" w:rsidRDefault="006911CD">
      <w:pPr>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项目名称：</w:t>
      </w:r>
      <w:bookmarkStart w:id="0" w:name="OLE_LINK75"/>
      <w:bookmarkStart w:id="1" w:name="OLE_LINK80"/>
      <w:bookmarkStart w:id="2" w:name="OLE_LINK79"/>
      <w:bookmarkStart w:id="3" w:name="OLE_LINK81"/>
      <w:bookmarkStart w:id="4" w:name="OLE_LINK76"/>
      <w:bookmarkStart w:id="5" w:name="OLE_LINK73"/>
      <w:bookmarkStart w:id="6" w:name="OLE_LINK74"/>
      <w:bookmarkStart w:id="7" w:name="OLE_LINK78"/>
      <w:bookmarkStart w:id="8" w:name="OLE_LINK77"/>
      <w:bookmarkStart w:id="9" w:name="OLE_LINK82"/>
      <w:r w:rsidRPr="00FC559E">
        <w:rPr>
          <w:rFonts w:ascii="Times New Roman" w:eastAsia="仿宋_GB2312" w:hAnsi="Times New Roman" w:cs="Times New Roman"/>
          <w:sz w:val="32"/>
          <w:szCs w:val="32"/>
        </w:rPr>
        <w:t>功能糖与类黄酮的分子营养及互作机制研究</w:t>
      </w:r>
      <w:bookmarkEnd w:id="0"/>
      <w:bookmarkEnd w:id="1"/>
      <w:bookmarkEnd w:id="2"/>
      <w:bookmarkEnd w:id="3"/>
      <w:bookmarkEnd w:id="4"/>
      <w:bookmarkEnd w:id="5"/>
      <w:bookmarkEnd w:id="6"/>
      <w:bookmarkEnd w:id="7"/>
      <w:bookmarkEnd w:id="8"/>
      <w:bookmarkEnd w:id="9"/>
    </w:p>
    <w:p w:rsidR="005E704A" w:rsidRPr="00FC559E" w:rsidRDefault="006911CD">
      <w:pPr>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完成单位：陕西师范大学</w:t>
      </w:r>
    </w:p>
    <w:p w:rsidR="005E704A" w:rsidRPr="00FC559E" w:rsidRDefault="006911CD" w:rsidP="00495906">
      <w:pPr>
        <w:ind w:left="1280" w:hangingChars="400" w:hanging="1280"/>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完成人：</w:t>
      </w:r>
      <w:r w:rsidR="00B16D16" w:rsidRPr="00FC559E">
        <w:rPr>
          <w:rFonts w:ascii="仿宋_GB2312" w:eastAsia="仿宋_GB2312" w:hAnsi="宋体" w:cs="Times New Roman" w:hint="eastAsia"/>
          <w:sz w:val="32"/>
          <w:szCs w:val="32"/>
        </w:rPr>
        <w:t>杨兴斌、李婷、任道远、林德慧</w:t>
      </w:r>
      <w:r w:rsidR="00B16D16" w:rsidRPr="00FC559E">
        <w:rPr>
          <w:rFonts w:ascii="仿宋_GB2312" w:eastAsia="仿宋_GB2312" w:hAnsi="宋体" w:cs="Times New Roman"/>
          <w:sz w:val="32"/>
          <w:szCs w:val="32"/>
        </w:rPr>
        <w:t>、</w:t>
      </w:r>
      <w:r w:rsidR="00B16D16" w:rsidRPr="00FC559E">
        <w:rPr>
          <w:rFonts w:ascii="仿宋_GB2312" w:eastAsia="仿宋_GB2312" w:hAnsi="宋体" w:cs="Times New Roman" w:hint="eastAsia"/>
          <w:sz w:val="32"/>
          <w:szCs w:val="32"/>
        </w:rPr>
        <w:t>张海生、邵红军、路亚龙、赵燕、李文峰、李照</w:t>
      </w:r>
    </w:p>
    <w:p w:rsidR="00495906" w:rsidRPr="00FC559E" w:rsidRDefault="006911CD" w:rsidP="00B16D16">
      <w:pPr>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项目简介：</w:t>
      </w:r>
    </w:p>
    <w:p w:rsidR="00B16D16" w:rsidRPr="00FC559E" w:rsidRDefault="00B16D16" w:rsidP="00495906">
      <w:pPr>
        <w:ind w:firstLineChars="200" w:firstLine="640"/>
        <w:rPr>
          <w:rFonts w:ascii="仿宋_GB2312" w:eastAsia="仿宋_GB2312" w:hAnsi="宋体" w:cs="Times New Roman"/>
          <w:sz w:val="32"/>
          <w:szCs w:val="32"/>
        </w:rPr>
      </w:pPr>
      <w:r w:rsidRPr="00FC559E">
        <w:rPr>
          <w:rFonts w:ascii="仿宋_GB2312" w:eastAsia="仿宋_GB2312" w:hAnsi="宋体" w:cs="Times New Roman" w:hint="eastAsia"/>
          <w:sz w:val="32"/>
          <w:szCs w:val="32"/>
        </w:rPr>
        <w:t>本项目研究了农业食品科学领域中“功能糖（寡糖和多糖）与类黄酮的分子营养及互作机制研究”方面前沿性、交叉性的科学问题。</w:t>
      </w:r>
      <w:bookmarkStart w:id="10" w:name="OLE_LINK25"/>
      <w:bookmarkStart w:id="11" w:name="OLE_LINK27"/>
      <w:bookmarkStart w:id="12" w:name="OLE_LINK26"/>
      <w:r w:rsidRPr="00FC559E">
        <w:rPr>
          <w:rFonts w:ascii="仿宋_GB2312" w:eastAsia="仿宋_GB2312" w:hAnsi="宋体" w:cs="Times New Roman" w:hint="eastAsia"/>
          <w:sz w:val="32"/>
          <w:szCs w:val="32"/>
        </w:rPr>
        <w:t>通过</w:t>
      </w:r>
      <w:bookmarkStart w:id="13" w:name="OLE_LINK13"/>
      <w:r w:rsidRPr="00FC559E">
        <w:rPr>
          <w:rFonts w:ascii="仿宋_GB2312" w:eastAsia="仿宋_GB2312" w:hAnsi="宋体" w:cs="Times New Roman" w:hint="eastAsia"/>
          <w:sz w:val="32"/>
          <w:szCs w:val="32"/>
        </w:rPr>
        <w:t>构建不同营养因子干预的动物和细胞模型</w:t>
      </w:r>
      <w:bookmarkEnd w:id="10"/>
      <w:bookmarkEnd w:id="11"/>
      <w:bookmarkEnd w:id="12"/>
      <w:bookmarkEnd w:id="13"/>
      <w:r w:rsidRPr="00FC559E">
        <w:rPr>
          <w:rFonts w:ascii="仿宋_GB2312" w:eastAsia="仿宋_GB2312" w:hAnsi="宋体" w:cs="Times New Roman" w:hint="eastAsia"/>
          <w:sz w:val="32"/>
          <w:szCs w:val="32"/>
        </w:rPr>
        <w:t>，同时利用人体试食试验，探究了多糖、低聚糖和食物类黄酮的</w:t>
      </w:r>
      <w:bookmarkStart w:id="14" w:name="OLE_LINK41"/>
      <w:bookmarkStart w:id="15" w:name="OLE_LINK40"/>
      <w:r w:rsidRPr="00FC559E">
        <w:rPr>
          <w:rFonts w:ascii="仿宋_GB2312" w:eastAsia="仿宋_GB2312" w:hAnsi="宋体" w:cs="Times New Roman" w:hint="eastAsia"/>
          <w:sz w:val="32"/>
          <w:szCs w:val="32"/>
        </w:rPr>
        <w:t>肝保护、代谢稳态调控、血管营养</w:t>
      </w:r>
      <w:bookmarkEnd w:id="14"/>
      <w:bookmarkEnd w:id="15"/>
      <w:r w:rsidRPr="00FC559E">
        <w:rPr>
          <w:rFonts w:ascii="仿宋_GB2312" w:eastAsia="仿宋_GB2312" w:hAnsi="宋体" w:cs="Times New Roman" w:hint="eastAsia"/>
          <w:sz w:val="32"/>
          <w:szCs w:val="32"/>
        </w:rPr>
        <w:t>调节、肠道益生和免疫调节等功能特性，揭示了功能糖和类黄酮的系统营养学效应、分子营养机制及</w:t>
      </w:r>
      <w:bookmarkStart w:id="16" w:name="OLE_LINK14"/>
      <w:r w:rsidRPr="00FC559E">
        <w:rPr>
          <w:rFonts w:ascii="仿宋_GB2312" w:eastAsia="仿宋_GB2312" w:hAnsi="宋体" w:cs="Times New Roman" w:hint="eastAsia"/>
          <w:sz w:val="32"/>
          <w:szCs w:val="32"/>
        </w:rPr>
        <w:t>结构-功能效应的基本关系特征</w:t>
      </w:r>
      <w:bookmarkEnd w:id="16"/>
      <w:r w:rsidRPr="00FC559E">
        <w:rPr>
          <w:rFonts w:ascii="仿宋_GB2312" w:eastAsia="仿宋_GB2312" w:hAnsi="宋体" w:cs="Times New Roman" w:hint="eastAsia"/>
          <w:sz w:val="32"/>
          <w:szCs w:val="32"/>
        </w:rPr>
        <w:t>，并基于此，深入研究了功能糖对类黄酮吸收与代谢的</w:t>
      </w:r>
      <w:bookmarkStart w:id="17" w:name="OLE_LINK29"/>
      <w:bookmarkStart w:id="18" w:name="OLE_LINK28"/>
      <w:r w:rsidRPr="00FC559E">
        <w:rPr>
          <w:rFonts w:ascii="仿宋_GB2312" w:eastAsia="仿宋_GB2312" w:hAnsi="宋体" w:cs="Times New Roman" w:hint="eastAsia"/>
          <w:sz w:val="32"/>
          <w:szCs w:val="32"/>
        </w:rPr>
        <w:t>互作及调控机制</w:t>
      </w:r>
      <w:bookmarkEnd w:id="17"/>
      <w:bookmarkEnd w:id="18"/>
      <w:r w:rsidRPr="00FC559E">
        <w:rPr>
          <w:rFonts w:ascii="仿宋_GB2312" w:eastAsia="仿宋_GB2312" w:hAnsi="宋体" w:cs="Times New Roman" w:hint="eastAsia"/>
          <w:sz w:val="32"/>
          <w:szCs w:val="32"/>
        </w:rPr>
        <w:t>。在获得大量实验数据资料的基础上，综合分析论证，取得下述主要方面的研究成果：</w:t>
      </w:r>
    </w:p>
    <w:p w:rsidR="00B16D16" w:rsidRPr="00FC559E" w:rsidRDefault="00B16D16" w:rsidP="00495906">
      <w:pPr>
        <w:spacing w:line="360" w:lineRule="auto"/>
        <w:ind w:firstLineChars="200" w:firstLine="640"/>
        <w:rPr>
          <w:rFonts w:ascii="仿宋_GB2312" w:eastAsia="仿宋_GB2312" w:hAnsi="宋体" w:cs="Times New Roman"/>
          <w:sz w:val="32"/>
          <w:szCs w:val="32"/>
        </w:rPr>
      </w:pPr>
      <w:r w:rsidRPr="00FC559E">
        <w:rPr>
          <w:rFonts w:ascii="仿宋_GB2312" w:eastAsia="仿宋_GB2312" w:hAnsi="宋体" w:cs="Times New Roman" w:hint="eastAsia"/>
          <w:sz w:val="32"/>
          <w:szCs w:val="32"/>
        </w:rPr>
        <w:t>（1）揭示了泽兰低聚糖、沙蒿多糖、苦丁茶多糖和紫阳富硒绿茶多糖等多种功能糖的肠道益生、免疫调节、</w:t>
      </w:r>
      <w:r w:rsidRPr="00FC559E">
        <w:rPr>
          <w:rFonts w:ascii="仿宋_GB2312" w:eastAsia="仿宋_GB2312" w:hAnsi="宋体" w:cs="仿宋_GB2312" w:hint="eastAsia"/>
          <w:sz w:val="32"/>
          <w:szCs w:val="32"/>
        </w:rPr>
        <w:t>肝保护与</w:t>
      </w:r>
      <w:r w:rsidRPr="00FC559E">
        <w:rPr>
          <w:rFonts w:ascii="仿宋_GB2312" w:eastAsia="仿宋_GB2312" w:hAnsi="宋体" w:cs="Times New Roman" w:hint="eastAsia"/>
          <w:sz w:val="32"/>
          <w:szCs w:val="32"/>
        </w:rPr>
        <w:t>代谢稳态调控的</w:t>
      </w:r>
      <w:r w:rsidRPr="00FC559E">
        <w:rPr>
          <w:rFonts w:ascii="仿宋_GB2312" w:eastAsia="仿宋_GB2312" w:hAnsi="宋体" w:cs="仿宋_GB2312" w:hint="eastAsia"/>
          <w:sz w:val="32"/>
          <w:szCs w:val="32"/>
        </w:rPr>
        <w:t>生物功能。首次研究鉴定了</w:t>
      </w:r>
      <w:bookmarkStart w:id="19" w:name="OLE_LINK3"/>
      <w:r w:rsidRPr="00FC559E">
        <w:rPr>
          <w:rFonts w:ascii="仿宋_GB2312" w:eastAsia="仿宋_GB2312" w:hAnsi="宋体" w:cs="仿宋_GB2312" w:hint="eastAsia"/>
          <w:sz w:val="32"/>
          <w:szCs w:val="32"/>
        </w:rPr>
        <w:t>一种新型沙蒿多糖</w:t>
      </w:r>
      <w:bookmarkEnd w:id="19"/>
      <w:r w:rsidRPr="00FC559E">
        <w:rPr>
          <w:rFonts w:ascii="仿宋_GB2312" w:eastAsia="仿宋_GB2312" w:hAnsi="宋体" w:cs="仿宋_GB2312" w:hint="eastAsia"/>
          <w:sz w:val="32"/>
          <w:szCs w:val="32"/>
        </w:rPr>
        <w:t>的化学结构，并基于此，进一步发现</w:t>
      </w:r>
      <w:r w:rsidRPr="00FC559E">
        <w:rPr>
          <w:rFonts w:ascii="仿宋_GB2312" w:eastAsia="仿宋_GB2312" w:hAnsi="宋体" w:cs="Times New Roman" w:hint="eastAsia"/>
          <w:sz w:val="32"/>
          <w:szCs w:val="32"/>
        </w:rPr>
        <w:t>沙蒿多糖</w:t>
      </w:r>
      <w:r w:rsidRPr="00FC559E">
        <w:rPr>
          <w:rFonts w:ascii="仿宋_GB2312" w:eastAsia="仿宋_GB2312" w:hAnsi="宋体" w:cs="仿宋_GB2312" w:hint="eastAsia"/>
          <w:sz w:val="32"/>
          <w:szCs w:val="32"/>
        </w:rPr>
        <w:t>通过</w:t>
      </w:r>
      <w:r w:rsidRPr="00FC559E">
        <w:rPr>
          <w:rFonts w:ascii="仿宋_GB2312" w:eastAsia="仿宋_GB2312" w:hAnsi="宋体" w:cs="Times New Roman" w:hint="eastAsia"/>
          <w:sz w:val="32"/>
          <w:szCs w:val="32"/>
        </w:rPr>
        <w:t>调控</w:t>
      </w:r>
      <w:bookmarkStart w:id="20" w:name="OLE_LINK4"/>
      <w:r w:rsidRPr="00FC559E">
        <w:rPr>
          <w:rFonts w:ascii="仿宋_GB2312" w:eastAsia="仿宋_GB2312" w:hAnsi="宋体" w:cs="Times New Roman" w:hint="eastAsia"/>
          <w:sz w:val="32"/>
          <w:szCs w:val="32"/>
        </w:rPr>
        <w:t>丝裂原活化蛋白激酶</w:t>
      </w:r>
      <w:bookmarkEnd w:id="20"/>
      <w:r w:rsidRPr="00FC559E">
        <w:rPr>
          <w:rFonts w:ascii="仿宋_GB2312" w:eastAsia="仿宋_GB2312" w:hAnsi="宋体" w:cs="Times New Roman" w:hint="eastAsia"/>
          <w:sz w:val="32"/>
          <w:szCs w:val="32"/>
        </w:rPr>
        <w:t>、磷脂酰肌醇3-激酶和核因子kB信号转导通路激活巨噬细胞从而发挥免疫调节作用的生物学</w:t>
      </w:r>
      <w:r w:rsidRPr="00FC559E">
        <w:rPr>
          <w:rFonts w:ascii="仿宋_GB2312" w:eastAsia="仿宋_GB2312" w:hAnsi="宋体" w:cs="Times New Roman" w:hint="eastAsia"/>
          <w:sz w:val="32"/>
          <w:szCs w:val="32"/>
        </w:rPr>
        <w:lastRenderedPageBreak/>
        <w:t>效应；分析鉴定了一种苦丁茶多糖的结构特性并揭示了其保护肝脏和血管内皮的功效；</w:t>
      </w:r>
      <w:r w:rsidRPr="00FC559E">
        <w:rPr>
          <w:rFonts w:ascii="仿宋_GB2312" w:eastAsia="仿宋_GB2312" w:hAnsi="宋体" w:cs="仿宋_GB2312" w:hint="eastAsia"/>
          <w:sz w:val="32"/>
          <w:szCs w:val="32"/>
        </w:rPr>
        <w:t>阐明了</w:t>
      </w:r>
      <w:r w:rsidRPr="00FC559E">
        <w:rPr>
          <w:rFonts w:ascii="仿宋_GB2312" w:eastAsia="仿宋_GB2312" w:hAnsi="宋体" w:cs="Times New Roman" w:hint="eastAsia"/>
          <w:sz w:val="32"/>
          <w:szCs w:val="32"/>
        </w:rPr>
        <w:t>紫阳富硒绿茶多糖减轻胰岛素抵抗和氧化应激损伤的</w:t>
      </w:r>
      <w:bookmarkStart w:id="21" w:name="OLE_LINK50"/>
      <w:bookmarkStart w:id="22" w:name="OLE_LINK49"/>
      <w:r w:rsidRPr="00FC559E">
        <w:rPr>
          <w:rFonts w:ascii="仿宋_GB2312" w:eastAsia="仿宋_GB2312" w:hAnsi="宋体" w:cs="Times New Roman" w:hint="eastAsia"/>
          <w:sz w:val="32"/>
          <w:szCs w:val="32"/>
        </w:rPr>
        <w:t>功能特性</w:t>
      </w:r>
      <w:bookmarkEnd w:id="21"/>
      <w:bookmarkEnd w:id="22"/>
      <w:r w:rsidRPr="00FC559E">
        <w:rPr>
          <w:rFonts w:ascii="仿宋_GB2312" w:eastAsia="仿宋_GB2312" w:hAnsi="宋体" w:cs="Times New Roman" w:hint="eastAsia"/>
          <w:sz w:val="32"/>
          <w:szCs w:val="32"/>
        </w:rPr>
        <w:t>，为该类食物的营养与食用价值提供了科学依据；通过便秘患者和正常人体试食试验揭示了</w:t>
      </w:r>
      <w:bookmarkStart w:id="23" w:name="_Hlk528676736"/>
      <w:r w:rsidRPr="00FC559E">
        <w:rPr>
          <w:rFonts w:ascii="仿宋_GB2312" w:eastAsia="仿宋_GB2312" w:hAnsi="宋体" w:cs="Times New Roman" w:hint="eastAsia"/>
          <w:sz w:val="32"/>
          <w:szCs w:val="32"/>
        </w:rPr>
        <w:t>泽兰低聚糖</w:t>
      </w:r>
      <w:bookmarkEnd w:id="23"/>
      <w:r w:rsidRPr="00FC559E">
        <w:rPr>
          <w:rFonts w:ascii="仿宋_GB2312" w:eastAsia="仿宋_GB2312" w:hAnsi="宋体" w:cs="Times New Roman" w:hint="eastAsia"/>
          <w:sz w:val="32"/>
          <w:szCs w:val="32"/>
        </w:rPr>
        <w:t>的临床安全性与调节肠道菌群、改善肠道功能的益生功效，为相关功能食品的开发与应用提供了理论依据与临床基础。</w:t>
      </w:r>
    </w:p>
    <w:p w:rsidR="00B16D16" w:rsidRPr="00FC559E" w:rsidRDefault="00B16D16" w:rsidP="00B16D16">
      <w:pPr>
        <w:spacing w:line="360" w:lineRule="auto"/>
        <w:ind w:firstLineChars="200" w:firstLine="640"/>
        <w:rPr>
          <w:rFonts w:ascii="仿宋_GB2312" w:eastAsia="仿宋_GB2312" w:hAnsi="宋体" w:cs="Times New Roman"/>
          <w:sz w:val="32"/>
          <w:szCs w:val="32"/>
        </w:rPr>
      </w:pPr>
      <w:r w:rsidRPr="00FC559E">
        <w:rPr>
          <w:rFonts w:ascii="仿宋_GB2312" w:eastAsia="仿宋_GB2312" w:hAnsi="宋体" w:cs="Times New Roman" w:hint="eastAsia"/>
          <w:sz w:val="32"/>
          <w:szCs w:val="32"/>
        </w:rPr>
        <w:t>（2）阐明了苦荞黄酮</w:t>
      </w:r>
      <w:r w:rsidRPr="00FC559E">
        <w:rPr>
          <w:rFonts w:ascii="仿宋_GB2312" w:eastAsia="仿宋_GB2312" w:hAnsi="宋体" w:cs="仿宋_GB2312" w:hint="eastAsia"/>
          <w:sz w:val="32"/>
          <w:szCs w:val="32"/>
        </w:rPr>
        <w:t>、大豆异黄酮、苹果皮多酚</w:t>
      </w:r>
      <w:r w:rsidRPr="00FC559E">
        <w:rPr>
          <w:rFonts w:ascii="仿宋_GB2312" w:eastAsia="仿宋_GB2312" w:hAnsi="宋体" w:cs="Times New Roman" w:hint="eastAsia"/>
          <w:sz w:val="32"/>
          <w:szCs w:val="32"/>
        </w:rPr>
        <w:t>等膳食类黄酮的结构特征</w:t>
      </w:r>
      <w:r w:rsidRPr="00FC559E">
        <w:rPr>
          <w:rFonts w:ascii="仿宋_GB2312" w:eastAsia="仿宋_GB2312" w:hAnsi="宋体" w:cs="仿宋_GB2312" w:hint="eastAsia"/>
          <w:sz w:val="32"/>
          <w:szCs w:val="32"/>
        </w:rPr>
        <w:t>及调节代谢紊乱</w:t>
      </w:r>
      <w:r w:rsidRPr="00FC559E">
        <w:rPr>
          <w:rFonts w:ascii="仿宋_GB2312" w:eastAsia="仿宋_GB2312" w:hAnsi="宋体" w:cs="Times New Roman" w:hint="eastAsia"/>
          <w:sz w:val="32"/>
          <w:szCs w:val="32"/>
        </w:rPr>
        <w:t>、</w:t>
      </w:r>
      <w:r w:rsidRPr="00FC559E">
        <w:rPr>
          <w:rFonts w:ascii="仿宋_GB2312" w:eastAsia="仿宋_GB2312" w:hAnsi="宋体" w:cs="仿宋_GB2312" w:hint="eastAsia"/>
          <w:sz w:val="32"/>
          <w:szCs w:val="32"/>
        </w:rPr>
        <w:t>保护肝脏、调节血管营养和抗肿瘤的生物学效应</w:t>
      </w:r>
      <w:r w:rsidRPr="00FC559E">
        <w:rPr>
          <w:rFonts w:ascii="仿宋_GB2312" w:eastAsia="仿宋_GB2312" w:hAnsi="宋体" w:cs="Times New Roman" w:hint="eastAsia"/>
          <w:sz w:val="32"/>
          <w:szCs w:val="32"/>
        </w:rPr>
        <w:t>。体外研究发现苦荞黄酮通过调控丝裂原活化蛋白激酶信号级联拮抗高葡萄糖饮食诱导的肝细胞氧化应激和胰岛素抵抗，</w:t>
      </w:r>
      <w:bookmarkStart w:id="24" w:name="OLE_LINK11"/>
      <w:bookmarkStart w:id="25" w:name="OLE_LINK12"/>
      <w:r w:rsidRPr="00FC559E">
        <w:rPr>
          <w:rFonts w:ascii="仿宋_GB2312" w:eastAsia="仿宋_GB2312" w:hAnsi="宋体" w:cs="Times New Roman" w:hint="eastAsia"/>
          <w:sz w:val="32"/>
          <w:szCs w:val="32"/>
        </w:rPr>
        <w:t>体内实验进一步验证了</w:t>
      </w:r>
      <w:bookmarkEnd w:id="24"/>
      <w:bookmarkEnd w:id="25"/>
      <w:r w:rsidRPr="00FC559E">
        <w:rPr>
          <w:rFonts w:ascii="仿宋_GB2312" w:eastAsia="仿宋_GB2312" w:hAnsi="宋体" w:cs="Times New Roman" w:hint="eastAsia"/>
          <w:sz w:val="32"/>
          <w:szCs w:val="32"/>
        </w:rPr>
        <w:t>苦荞黄酮的护肝功效；</w:t>
      </w:r>
      <w:bookmarkStart w:id="26" w:name="OLE_LINK32"/>
      <w:bookmarkStart w:id="27" w:name="OLE_LINK33"/>
      <w:r w:rsidRPr="00FC559E">
        <w:rPr>
          <w:rFonts w:ascii="仿宋_GB2312" w:eastAsia="仿宋_GB2312" w:hAnsi="宋体" w:cs="Times New Roman" w:hint="eastAsia"/>
          <w:sz w:val="32"/>
          <w:szCs w:val="32"/>
        </w:rPr>
        <w:t>揭示了根皮素和苹果皮多酚改善肝脏血脂异常、脂肪肝和血管内皮功能</w:t>
      </w:r>
      <w:bookmarkEnd w:id="26"/>
      <w:bookmarkEnd w:id="27"/>
      <w:r w:rsidRPr="00FC559E">
        <w:rPr>
          <w:rFonts w:ascii="仿宋_GB2312" w:eastAsia="仿宋_GB2312" w:hAnsi="宋体" w:cs="Times New Roman" w:hint="eastAsia"/>
          <w:sz w:val="32"/>
          <w:szCs w:val="32"/>
        </w:rPr>
        <w:t>的保肝与血管营养机制；阐释了苹果黄酮</w:t>
      </w:r>
      <w:r w:rsidRPr="00FC559E">
        <w:rPr>
          <w:rFonts w:ascii="仿宋_GB2312" w:eastAsia="仿宋_GB2312" w:hAnsi="宋体" w:cs="仿宋_GB2312" w:hint="eastAsia"/>
          <w:sz w:val="32"/>
          <w:szCs w:val="32"/>
        </w:rPr>
        <w:t>通过抬高癌细胞内活性氧水平并激活线粒体凋亡途径发挥抑制肿瘤细胞的作用，</w:t>
      </w:r>
      <w:r w:rsidRPr="00FC559E">
        <w:rPr>
          <w:rFonts w:ascii="仿宋_GB2312" w:eastAsia="仿宋_GB2312" w:hAnsi="宋体" w:cs="Times New Roman" w:hint="eastAsia"/>
          <w:sz w:val="32"/>
          <w:szCs w:val="32"/>
        </w:rPr>
        <w:t>为相关功能食品的开发提供了充分的理论依据。基于化学构成和抗氧化活性优化了白榆皮多酚的提取工艺，为该类食品的产业化提供了数据支撑。</w:t>
      </w:r>
    </w:p>
    <w:p w:rsidR="00B16D16" w:rsidRPr="00FC559E" w:rsidRDefault="00B16D16" w:rsidP="00B16D16">
      <w:pPr>
        <w:spacing w:line="360" w:lineRule="auto"/>
        <w:ind w:firstLineChars="200" w:firstLine="640"/>
        <w:rPr>
          <w:rFonts w:ascii="仿宋_GB2312" w:eastAsia="仿宋_GB2312" w:hAnsi="宋体" w:cs="Times New Roman"/>
          <w:sz w:val="32"/>
          <w:szCs w:val="32"/>
        </w:rPr>
      </w:pPr>
      <w:r w:rsidRPr="00FC559E">
        <w:rPr>
          <w:rFonts w:ascii="仿宋_GB2312" w:eastAsia="仿宋_GB2312" w:hAnsi="宋体" w:cs="Times New Roman" w:hint="eastAsia"/>
          <w:sz w:val="32"/>
          <w:szCs w:val="32"/>
        </w:rPr>
        <w:t>（3）</w:t>
      </w:r>
      <w:bookmarkStart w:id="28" w:name="OLE_LINK34"/>
      <w:bookmarkStart w:id="29" w:name="OLE_LINK35"/>
      <w:r w:rsidRPr="00FC559E">
        <w:rPr>
          <w:rFonts w:ascii="仿宋_GB2312" w:eastAsia="仿宋_GB2312" w:hAnsi="宋体" w:cs="Times New Roman" w:hint="eastAsia"/>
          <w:sz w:val="32"/>
          <w:szCs w:val="32"/>
        </w:rPr>
        <w:t>解析了功能糖增强茶黄酮、大豆</w:t>
      </w:r>
      <w:r w:rsidRPr="00FC559E">
        <w:rPr>
          <w:rFonts w:ascii="仿宋_GB2312" w:eastAsia="仿宋_GB2312" w:hAnsi="宋体" w:cs="Times New Roman"/>
          <w:sz w:val="32"/>
          <w:szCs w:val="32"/>
        </w:rPr>
        <w:t>异黄酮（</w:t>
      </w:r>
      <w:r w:rsidRPr="00FC559E">
        <w:rPr>
          <w:rFonts w:ascii="仿宋_GB2312" w:eastAsia="仿宋_GB2312" w:hAnsi="宋体" w:cs="Times New Roman" w:hint="eastAsia"/>
          <w:sz w:val="32"/>
          <w:szCs w:val="32"/>
        </w:rPr>
        <w:t>染料木素等</w:t>
      </w:r>
      <w:r w:rsidRPr="00FC559E">
        <w:rPr>
          <w:rFonts w:ascii="仿宋_GB2312" w:eastAsia="仿宋_GB2312" w:hAnsi="宋体" w:cs="Times New Roman"/>
          <w:sz w:val="32"/>
          <w:szCs w:val="32"/>
        </w:rPr>
        <w:t>）</w:t>
      </w:r>
      <w:r w:rsidRPr="00FC559E">
        <w:rPr>
          <w:rFonts w:ascii="仿宋_GB2312" w:eastAsia="仿宋_GB2312" w:hAnsi="宋体" w:cs="Times New Roman" w:hint="eastAsia"/>
          <w:sz w:val="32"/>
          <w:szCs w:val="32"/>
        </w:rPr>
        <w:t>和姜黄素等类黄酮的吸收、代谢和生物活性的互作机制。</w:t>
      </w:r>
      <w:bookmarkEnd w:id="28"/>
      <w:bookmarkEnd w:id="29"/>
      <w:r w:rsidRPr="00FC559E">
        <w:rPr>
          <w:rFonts w:ascii="仿宋_GB2312" w:eastAsia="仿宋_GB2312" w:hAnsi="宋体" w:cs="Times New Roman" w:hint="eastAsia"/>
          <w:sz w:val="32"/>
          <w:szCs w:val="32"/>
        </w:rPr>
        <w:t>首次揭示</w:t>
      </w:r>
      <w:bookmarkStart w:id="30" w:name="OLE_LINK36"/>
      <w:bookmarkStart w:id="31" w:name="OLE_LINK37"/>
      <w:r w:rsidRPr="00FC559E">
        <w:rPr>
          <w:rFonts w:ascii="仿宋_GB2312" w:eastAsia="仿宋_GB2312" w:hAnsi="宋体" w:cs="Times New Roman" w:hint="eastAsia"/>
          <w:sz w:val="32"/>
          <w:szCs w:val="32"/>
        </w:rPr>
        <w:t>大豆水苏糖与大豆多糖提高表儿茶素、表没食</w:t>
      </w:r>
      <w:r w:rsidRPr="00FC559E">
        <w:rPr>
          <w:rFonts w:ascii="仿宋_GB2312" w:eastAsia="仿宋_GB2312" w:hAnsi="宋体" w:cs="Times New Roman" w:hint="eastAsia"/>
          <w:sz w:val="32"/>
          <w:szCs w:val="32"/>
        </w:rPr>
        <w:lastRenderedPageBreak/>
        <w:t>子儿茶素等儿茶素</w:t>
      </w:r>
      <w:bookmarkEnd w:id="30"/>
      <w:bookmarkEnd w:id="31"/>
      <w:r w:rsidRPr="00FC559E">
        <w:rPr>
          <w:rFonts w:ascii="仿宋_GB2312" w:eastAsia="仿宋_GB2312" w:hAnsi="宋体" w:cs="Times New Roman" w:hint="eastAsia"/>
          <w:sz w:val="32"/>
          <w:szCs w:val="32"/>
        </w:rPr>
        <w:t>和染料木黄酮等异黄酮生物利用度并</w:t>
      </w:r>
      <w:bookmarkStart w:id="32" w:name="OLE_LINK30"/>
      <w:bookmarkStart w:id="33" w:name="OLE_LINK31"/>
      <w:r w:rsidRPr="00FC559E">
        <w:rPr>
          <w:rFonts w:ascii="仿宋_GB2312" w:eastAsia="仿宋_GB2312" w:hAnsi="宋体" w:cs="Times New Roman" w:hint="eastAsia"/>
          <w:sz w:val="32"/>
          <w:szCs w:val="32"/>
        </w:rPr>
        <w:t>增强其肝保护作用</w:t>
      </w:r>
      <w:bookmarkEnd w:id="32"/>
      <w:bookmarkEnd w:id="33"/>
      <w:r w:rsidRPr="00FC559E">
        <w:rPr>
          <w:rFonts w:ascii="仿宋_GB2312" w:eastAsia="仿宋_GB2312" w:hAnsi="宋体" w:cs="Times New Roman" w:hint="eastAsia"/>
          <w:sz w:val="32"/>
          <w:szCs w:val="32"/>
        </w:rPr>
        <w:t>的功能效应；</w:t>
      </w:r>
      <w:bookmarkStart w:id="34" w:name="OLE_LINK1"/>
      <w:r w:rsidRPr="00FC559E">
        <w:rPr>
          <w:rFonts w:ascii="仿宋_GB2312" w:eastAsia="仿宋_GB2312" w:hAnsi="宋体" w:cs="Times New Roman" w:hint="eastAsia"/>
          <w:sz w:val="32"/>
          <w:szCs w:val="32"/>
        </w:rPr>
        <w:t>首次制备包封姜黄素的溶菌酶-沙蒿多糖自组装纳米颗粒并阐明其提升姜黄素稳定性</w:t>
      </w:r>
      <w:bookmarkStart w:id="35" w:name="OLE_LINK2"/>
      <w:r w:rsidRPr="00FC559E">
        <w:rPr>
          <w:rFonts w:ascii="仿宋_GB2312" w:eastAsia="仿宋_GB2312" w:hAnsi="宋体" w:cs="Times New Roman" w:hint="eastAsia"/>
          <w:sz w:val="32"/>
          <w:szCs w:val="32"/>
        </w:rPr>
        <w:t>、生物利用度和抗肿瘤活性的功能特性；</w:t>
      </w:r>
      <w:bookmarkEnd w:id="34"/>
      <w:bookmarkEnd w:id="35"/>
      <w:r w:rsidRPr="00FC559E">
        <w:rPr>
          <w:rFonts w:ascii="仿宋_GB2312" w:eastAsia="仿宋_GB2312" w:hAnsi="宋体" w:cs="Times New Roman" w:hint="eastAsia"/>
          <w:sz w:val="32"/>
          <w:szCs w:val="32"/>
        </w:rPr>
        <w:t>阐释了水苏糖通过抑制小肠上皮细胞II相代谢酶和外排转运泵相关蛋白增强类黄酮肠吸收的重要调控机制；同时阐明了水苏糖通过调节肠道菌群抑制食物类黄酮的肠道降解，提升其生物利用度的关键机制，为功能糖和类黄酮食品功能因子的互作增效理论发展及复合功能食品的研发提供了科学依据。</w:t>
      </w:r>
    </w:p>
    <w:p w:rsidR="005E704A" w:rsidRPr="00FC559E" w:rsidRDefault="00B16D16" w:rsidP="00B16D16">
      <w:pPr>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本项目的研究成果（</w:t>
      </w:r>
      <w:r w:rsidRPr="00FC559E">
        <w:rPr>
          <w:rFonts w:ascii="Times New Roman" w:eastAsia="仿宋_GB2312" w:hAnsi="Times New Roman" w:cs="Times New Roman"/>
          <w:sz w:val="32"/>
          <w:szCs w:val="32"/>
        </w:rPr>
        <w:t>15</w:t>
      </w:r>
      <w:r w:rsidRPr="00FC559E">
        <w:rPr>
          <w:rFonts w:ascii="Times New Roman" w:eastAsia="仿宋_GB2312" w:hAnsi="Times New Roman" w:cs="Times New Roman"/>
          <w:sz w:val="32"/>
          <w:szCs w:val="32"/>
        </w:rPr>
        <w:t>篇</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代表论文）先后在</w:t>
      </w:r>
      <w:r w:rsidRPr="00FC559E">
        <w:rPr>
          <w:rFonts w:ascii="Times New Roman" w:eastAsia="仿宋_GB2312" w:hAnsi="Times New Roman" w:cs="Times New Roman"/>
          <w:i/>
          <w:sz w:val="32"/>
          <w:szCs w:val="32"/>
        </w:rPr>
        <w:t>Mol.</w:t>
      </w:r>
      <w:r w:rsidRPr="00FC559E">
        <w:rPr>
          <w:rFonts w:ascii="Times New Roman" w:eastAsia="仿宋_GB2312" w:hAnsi="Times New Roman" w:cs="Times New Roman" w:hint="eastAsia"/>
          <w:i/>
          <w:sz w:val="32"/>
          <w:szCs w:val="32"/>
        </w:rPr>
        <w:t xml:space="preserve"> </w:t>
      </w:r>
      <w:r w:rsidRPr="00FC559E">
        <w:rPr>
          <w:rFonts w:ascii="Times New Roman" w:eastAsia="仿宋_GB2312" w:hAnsi="Times New Roman" w:cs="Times New Roman"/>
          <w:i/>
          <w:sz w:val="32"/>
          <w:szCs w:val="32"/>
        </w:rPr>
        <w:t>Nutr.</w:t>
      </w:r>
      <w:r w:rsidRPr="00FC559E">
        <w:rPr>
          <w:rFonts w:ascii="Times New Roman" w:eastAsia="仿宋_GB2312" w:hAnsi="Times New Roman" w:cs="Times New Roman" w:hint="eastAsia"/>
          <w:i/>
          <w:sz w:val="32"/>
          <w:szCs w:val="32"/>
        </w:rPr>
        <w:t xml:space="preserve"> </w:t>
      </w:r>
      <w:r w:rsidRPr="00FC559E">
        <w:rPr>
          <w:rFonts w:ascii="Times New Roman" w:eastAsia="仿宋_GB2312" w:hAnsi="Times New Roman" w:cs="Times New Roman"/>
          <w:i/>
          <w:sz w:val="32"/>
          <w:szCs w:val="32"/>
        </w:rPr>
        <w:t>Food Res.</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一区），</w:t>
      </w:r>
      <w:r w:rsidRPr="00FC559E">
        <w:rPr>
          <w:rFonts w:ascii="Times New Roman" w:eastAsia="仿宋_GB2312" w:hAnsi="Times New Roman" w:cs="Times New Roman"/>
          <w:i/>
          <w:sz w:val="32"/>
          <w:szCs w:val="32"/>
        </w:rPr>
        <w:t>Food</w:t>
      </w:r>
      <w:r w:rsidRPr="00FC559E">
        <w:rPr>
          <w:rFonts w:ascii="Times New Roman" w:eastAsia="仿宋_GB2312" w:hAnsi="Times New Roman" w:cs="Times New Roman" w:hint="eastAsia"/>
          <w:i/>
          <w:sz w:val="32"/>
          <w:szCs w:val="32"/>
        </w:rPr>
        <w:t xml:space="preserve"> </w:t>
      </w:r>
      <w:r w:rsidRPr="00FC559E">
        <w:rPr>
          <w:rFonts w:ascii="Times New Roman" w:eastAsia="仿宋_GB2312" w:hAnsi="Times New Roman" w:cs="Times New Roman"/>
          <w:i/>
          <w:sz w:val="32"/>
          <w:szCs w:val="32"/>
        </w:rPr>
        <w:t>Funct.</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一区，</w:t>
      </w:r>
      <w:r w:rsidRPr="00FC559E">
        <w:rPr>
          <w:rFonts w:ascii="Times New Roman" w:eastAsia="仿宋_GB2312" w:hAnsi="Times New Roman" w:cs="Times New Roman" w:hint="eastAsia"/>
          <w:sz w:val="32"/>
          <w:szCs w:val="32"/>
        </w:rPr>
        <w:t>11</w:t>
      </w:r>
      <w:r w:rsidRPr="00FC559E">
        <w:rPr>
          <w:rFonts w:ascii="Times New Roman" w:eastAsia="仿宋_GB2312" w:hAnsi="Times New Roman" w:cs="Times New Roman"/>
          <w:sz w:val="32"/>
          <w:szCs w:val="32"/>
        </w:rPr>
        <w:t>篇），</w:t>
      </w:r>
      <w:r w:rsidRPr="00FC559E">
        <w:rPr>
          <w:rFonts w:ascii="Times New Roman" w:eastAsia="仿宋_GB2312" w:hAnsi="Times New Roman" w:cs="Times New Roman"/>
          <w:i/>
          <w:sz w:val="32"/>
          <w:szCs w:val="32"/>
        </w:rPr>
        <w:t>J</w:t>
      </w:r>
      <w:r w:rsidRPr="00FC559E">
        <w:rPr>
          <w:rFonts w:ascii="Times New Roman" w:eastAsia="仿宋_GB2312" w:hAnsi="Times New Roman" w:cs="Times New Roman" w:hint="eastAsia"/>
          <w:i/>
          <w:sz w:val="32"/>
          <w:szCs w:val="32"/>
        </w:rPr>
        <w:t>.</w:t>
      </w:r>
      <w:r w:rsidRPr="00FC559E">
        <w:rPr>
          <w:rFonts w:ascii="Times New Roman" w:eastAsia="仿宋_GB2312" w:hAnsi="Times New Roman" w:cs="Times New Roman"/>
          <w:i/>
          <w:sz w:val="32"/>
          <w:szCs w:val="32"/>
        </w:rPr>
        <w:t xml:space="preserve"> Funct. Foods</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一区）</w:t>
      </w:r>
      <w:r w:rsidRPr="00FC559E">
        <w:rPr>
          <w:rFonts w:ascii="Times New Roman" w:eastAsia="仿宋_GB2312" w:hAnsi="Times New Roman" w:cs="Times New Roman" w:hint="eastAsia"/>
          <w:sz w:val="32"/>
          <w:szCs w:val="32"/>
        </w:rPr>
        <w:t>，</w:t>
      </w:r>
      <w:r w:rsidRPr="00FC559E">
        <w:rPr>
          <w:rFonts w:ascii="Times New Roman" w:eastAsia="仿宋_GB2312" w:hAnsi="Times New Roman" w:cs="Times New Roman"/>
          <w:i/>
          <w:sz w:val="32"/>
          <w:szCs w:val="32"/>
        </w:rPr>
        <w:t>Ind. Crop. Prod.</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一区）和</w:t>
      </w:r>
      <w:r w:rsidRPr="00FC559E">
        <w:rPr>
          <w:rFonts w:ascii="Times New Roman" w:eastAsia="仿宋_GB2312" w:hAnsi="Times New Roman" w:cs="Times New Roman"/>
          <w:i/>
          <w:sz w:val="32"/>
          <w:szCs w:val="32"/>
        </w:rPr>
        <w:t>Food Nutr. Res.</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二区）等农业食品相关领域高水平</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杂志（</w:t>
      </w:r>
      <w:r w:rsidRPr="00FC559E">
        <w:rPr>
          <w:rFonts w:ascii="Times New Roman" w:eastAsia="仿宋_GB2312" w:hAnsi="Times New Roman" w:cs="Times New Roman"/>
          <w:sz w:val="32"/>
          <w:szCs w:val="32"/>
        </w:rPr>
        <w:t>IF 2.039-4.323</w:t>
      </w:r>
      <w:r w:rsidRPr="00FC559E">
        <w:rPr>
          <w:rFonts w:ascii="Times New Roman" w:eastAsia="仿宋_GB2312" w:hAnsi="Times New Roman" w:cs="Times New Roman"/>
          <w:sz w:val="32"/>
          <w:szCs w:val="32"/>
        </w:rPr>
        <w:t>）发表。成果</w:t>
      </w:r>
      <w:r w:rsidRPr="00FC559E">
        <w:rPr>
          <w:rFonts w:ascii="Times New Roman" w:eastAsia="仿宋_GB2312" w:hAnsi="Times New Roman" w:cs="Times New Roman" w:hint="eastAsia"/>
          <w:sz w:val="32"/>
          <w:szCs w:val="32"/>
        </w:rPr>
        <w:t>在食品</w:t>
      </w:r>
      <w:r w:rsidRPr="00FC559E">
        <w:rPr>
          <w:rFonts w:ascii="仿宋_GB2312" w:eastAsia="仿宋_GB2312" w:hAnsi="宋体" w:cs="Times New Roman" w:hint="eastAsia"/>
          <w:sz w:val="32"/>
          <w:szCs w:val="32"/>
        </w:rPr>
        <w:t>营养因子互作研究领域产生了重要影响</w:t>
      </w:r>
      <w:r w:rsidRPr="00FC559E">
        <w:rPr>
          <w:rFonts w:ascii="Times New Roman" w:eastAsia="仿宋_GB2312" w:hAnsi="Times New Roman" w:cs="Times New Roman" w:hint="eastAsia"/>
          <w:sz w:val="32"/>
          <w:szCs w:val="32"/>
        </w:rPr>
        <w:t>，并</w:t>
      </w:r>
      <w:r w:rsidRPr="00FC559E">
        <w:rPr>
          <w:rFonts w:ascii="Times New Roman" w:eastAsia="仿宋_GB2312" w:hAnsi="Times New Roman" w:cs="Times New Roman"/>
          <w:sz w:val="32"/>
          <w:szCs w:val="32"/>
        </w:rPr>
        <w:t>受到国内外学术界的广泛关注，近</w:t>
      </w:r>
      <w:r w:rsidRPr="00FC559E">
        <w:rPr>
          <w:rFonts w:ascii="Times New Roman" w:eastAsia="仿宋_GB2312" w:hAnsi="Times New Roman" w:cs="Times New Roman"/>
          <w:sz w:val="32"/>
          <w:szCs w:val="32"/>
        </w:rPr>
        <w:t>5</w:t>
      </w:r>
      <w:r w:rsidRPr="00FC559E">
        <w:rPr>
          <w:rFonts w:ascii="Times New Roman" w:eastAsia="仿宋_GB2312" w:hAnsi="Times New Roman" w:cs="Times New Roman"/>
          <w:sz w:val="32"/>
          <w:szCs w:val="32"/>
        </w:rPr>
        <w:t>年被</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期刊引用多达</w:t>
      </w:r>
      <w:r w:rsidRPr="00FC559E">
        <w:rPr>
          <w:rFonts w:ascii="Times New Roman" w:eastAsia="仿宋_GB2312" w:hAnsi="Times New Roman" w:cs="Times New Roman"/>
          <w:sz w:val="32"/>
          <w:szCs w:val="32"/>
        </w:rPr>
        <w:t>76</w:t>
      </w:r>
      <w:r w:rsidRPr="00FC559E">
        <w:rPr>
          <w:rFonts w:ascii="Times New Roman" w:eastAsia="仿宋_GB2312" w:hAnsi="Times New Roman" w:cs="Times New Roman"/>
          <w:sz w:val="32"/>
          <w:szCs w:val="32"/>
        </w:rPr>
        <w:t>次（他引</w:t>
      </w:r>
      <w:r w:rsidRPr="00FC559E">
        <w:rPr>
          <w:rFonts w:ascii="Times New Roman" w:eastAsia="仿宋_GB2312" w:hAnsi="Times New Roman" w:cs="Times New Roman"/>
          <w:sz w:val="32"/>
          <w:szCs w:val="32"/>
        </w:rPr>
        <w:t>55</w:t>
      </w:r>
      <w:r w:rsidRPr="00FC559E">
        <w:rPr>
          <w:rFonts w:ascii="Times New Roman" w:eastAsia="仿宋_GB2312" w:hAnsi="Times New Roman" w:cs="Times New Roman"/>
          <w:sz w:val="32"/>
          <w:szCs w:val="32"/>
        </w:rPr>
        <w:t>次）。引用本项目成果的学术论文多发表在</w:t>
      </w:r>
      <w:r w:rsidRPr="00FC559E">
        <w:rPr>
          <w:rFonts w:ascii="Times New Roman" w:eastAsia="仿宋_GB2312" w:hAnsi="Times New Roman" w:cs="Times New Roman"/>
          <w:i/>
          <w:sz w:val="32"/>
          <w:szCs w:val="32"/>
        </w:rPr>
        <w:t>Mol. Nutr. Food Res.</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i/>
          <w:sz w:val="32"/>
          <w:szCs w:val="32"/>
        </w:rPr>
        <w:t>Food Funct.</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i/>
          <w:sz w:val="32"/>
          <w:szCs w:val="32"/>
        </w:rPr>
        <w:t>Food Chem. Toxicol.</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i/>
          <w:sz w:val="32"/>
          <w:szCs w:val="32"/>
        </w:rPr>
        <w:t>Food Nutr. Res.</w:t>
      </w:r>
      <w:r w:rsidRPr="00FC559E">
        <w:rPr>
          <w:rFonts w:ascii="Times New Roman" w:eastAsia="仿宋_GB2312" w:hAnsi="Times New Roman" w:cs="Times New Roman"/>
          <w:sz w:val="32"/>
          <w:szCs w:val="32"/>
        </w:rPr>
        <w:t>等农业食品领域中极具国际影响力的专业</w:t>
      </w:r>
      <w:r w:rsidRPr="00FC559E">
        <w:rPr>
          <w:rFonts w:ascii="Times New Roman" w:eastAsia="仿宋_GB2312" w:hAnsi="Times New Roman" w:cs="Times New Roman"/>
          <w:sz w:val="32"/>
          <w:szCs w:val="32"/>
        </w:rPr>
        <w:t>SCI</w:t>
      </w:r>
      <w:r w:rsidRPr="00FC559E">
        <w:rPr>
          <w:rFonts w:ascii="Times New Roman" w:eastAsia="仿宋_GB2312" w:hAnsi="Times New Roman" w:cs="Times New Roman"/>
          <w:sz w:val="32"/>
          <w:szCs w:val="32"/>
        </w:rPr>
        <w:t>期刊上。</w:t>
      </w:r>
    </w:p>
    <w:p w:rsidR="005E704A" w:rsidRPr="00FC559E" w:rsidRDefault="005E704A">
      <w:pPr>
        <w:rPr>
          <w:rFonts w:ascii="Times New Roman" w:eastAsia="仿宋_GB2312" w:hAnsi="Times New Roman" w:cs="Times New Roman"/>
          <w:sz w:val="32"/>
          <w:szCs w:val="32"/>
        </w:rPr>
      </w:pPr>
    </w:p>
    <w:p w:rsidR="005E704A" w:rsidRPr="00FC559E" w:rsidRDefault="006911CD">
      <w:pPr>
        <w:rPr>
          <w:rFonts w:ascii="Times New Roman" w:eastAsia="仿宋_GB2312" w:hAnsi="Times New Roman" w:cs="Times New Roman"/>
          <w:sz w:val="32"/>
          <w:szCs w:val="32"/>
        </w:rPr>
      </w:pPr>
      <w:r w:rsidRPr="00FC559E">
        <w:rPr>
          <w:rFonts w:ascii="Times New Roman" w:eastAsia="仿宋_GB2312" w:hAnsi="Times New Roman" w:cs="Times New Roman"/>
          <w:sz w:val="32"/>
          <w:szCs w:val="32"/>
        </w:rPr>
        <w:t>主要知识产权目录</w:t>
      </w:r>
      <w:r w:rsidRPr="00FC559E">
        <w:rPr>
          <w:rFonts w:ascii="Times New Roman" w:eastAsia="仿宋_GB2312" w:hAnsi="Times New Roman" w:cs="Times New Roman"/>
          <w:sz w:val="32"/>
          <w:szCs w:val="32"/>
        </w:rPr>
        <w:t>(15</w:t>
      </w:r>
      <w:r w:rsidRPr="00FC559E">
        <w:rPr>
          <w:rFonts w:ascii="Times New Roman" w:eastAsia="仿宋_GB2312" w:hAnsi="Times New Roman" w:cs="Times New Roman"/>
          <w:sz w:val="32"/>
          <w:szCs w:val="32"/>
        </w:rPr>
        <w:t>篇代表作及专利、计算机软件著作权等</w:t>
      </w:r>
      <w:r w:rsidRPr="00FC559E">
        <w:rPr>
          <w:rFonts w:ascii="Times New Roman" w:eastAsia="仿宋_GB2312" w:hAnsi="Times New Roman" w:cs="Times New Roman"/>
          <w:sz w:val="32"/>
          <w:szCs w:val="32"/>
        </w:rPr>
        <w:t>)</w:t>
      </w:r>
      <w:r w:rsidRPr="00FC559E">
        <w:rPr>
          <w:rFonts w:ascii="Times New Roman" w:eastAsia="仿宋_GB2312" w:hAnsi="Times New Roman" w:cs="Times New Roman"/>
          <w:sz w:val="32"/>
          <w:szCs w:val="32"/>
        </w:rPr>
        <w:t>：</w:t>
      </w:r>
    </w:p>
    <w:p w:rsidR="005E704A" w:rsidRPr="00FC559E" w:rsidRDefault="005E704A">
      <w:pPr>
        <w:widowControl/>
        <w:jc w:val="left"/>
        <w:rPr>
          <w:rFonts w:ascii="Times New Roman" w:eastAsia="仿宋_GB2312" w:hAnsi="Times New Roman" w:cs="Times New Roman"/>
          <w:sz w:val="32"/>
          <w:szCs w:val="32"/>
        </w:rPr>
        <w:sectPr w:rsidR="005E704A" w:rsidRPr="00FC559E">
          <w:pgSz w:w="11906" w:h="16838"/>
          <w:pgMar w:top="1440" w:right="1800" w:bottom="1440" w:left="1800" w:header="851" w:footer="992" w:gutter="0"/>
          <w:cols w:space="425"/>
          <w:docGrid w:type="lines" w:linePitch="312"/>
        </w:sectPr>
      </w:pPr>
    </w:p>
    <w:p w:rsidR="00E133F7" w:rsidRPr="00FC559E" w:rsidRDefault="00E133F7" w:rsidP="00E133F7">
      <w:pPr>
        <w:pStyle w:val="a7"/>
        <w:ind w:firstLineChars="0" w:firstLine="0"/>
        <w:jc w:val="center"/>
        <w:outlineLvl w:val="1"/>
        <w:rPr>
          <w:rFonts w:ascii="宋体" w:hAnsi="宋体" w:cs="Courier"/>
          <w:b/>
          <w:kern w:val="0"/>
          <w:sz w:val="28"/>
          <w:szCs w:val="28"/>
        </w:rPr>
      </w:pPr>
      <w:r w:rsidRPr="00FC559E">
        <w:rPr>
          <w:rFonts w:ascii="宋体" w:hAnsi="宋体" w:cs="Courier" w:hint="eastAsia"/>
          <w:b/>
          <w:kern w:val="0"/>
          <w:sz w:val="28"/>
          <w:szCs w:val="28"/>
        </w:rPr>
        <w:lastRenderedPageBreak/>
        <w:t>主要</w:t>
      </w:r>
      <w:r w:rsidRPr="00FC559E">
        <w:rPr>
          <w:rFonts w:ascii="宋体" w:hAnsi="宋体" w:cs="Courier"/>
          <w:b/>
          <w:kern w:val="0"/>
          <w:sz w:val="28"/>
          <w:szCs w:val="28"/>
        </w:rPr>
        <w:t>论文</w:t>
      </w:r>
      <w:r w:rsidRPr="00FC559E">
        <w:rPr>
          <w:rFonts w:ascii="宋体" w:hAnsi="宋体" w:cs="Courier" w:hint="eastAsia"/>
          <w:b/>
          <w:kern w:val="0"/>
          <w:sz w:val="28"/>
          <w:szCs w:val="28"/>
        </w:rPr>
        <w:t>专</w:t>
      </w:r>
      <w:r w:rsidRPr="00FC559E">
        <w:rPr>
          <w:rFonts w:ascii="宋体" w:hAnsi="宋体" w:cs="Courier"/>
          <w:b/>
          <w:kern w:val="0"/>
          <w:sz w:val="28"/>
          <w:szCs w:val="28"/>
        </w:rPr>
        <w:t>著目录</w:t>
      </w:r>
      <w:r w:rsidRPr="00FC559E">
        <w:rPr>
          <w:rFonts w:ascii="宋体" w:hAnsi="宋体" w:cs="Courier" w:hint="eastAsia"/>
          <w:b/>
          <w:kern w:val="0"/>
          <w:sz w:val="28"/>
          <w:szCs w:val="28"/>
        </w:rPr>
        <w:t>（</w:t>
      </w:r>
      <w:r w:rsidRPr="00FC559E">
        <w:rPr>
          <w:rFonts w:ascii="宋体" w:hAnsi="宋体" w:cs="Courier"/>
          <w:b/>
          <w:kern w:val="0"/>
          <w:sz w:val="28"/>
          <w:szCs w:val="28"/>
        </w:rPr>
        <w:t>限15</w:t>
      </w:r>
      <w:r w:rsidRPr="00FC559E">
        <w:rPr>
          <w:rFonts w:ascii="宋体" w:hAnsi="宋体" w:cs="Courier" w:hint="eastAsia"/>
          <w:b/>
          <w:kern w:val="0"/>
          <w:sz w:val="28"/>
          <w:szCs w:val="28"/>
        </w:rPr>
        <w:t>条）</w:t>
      </w:r>
    </w:p>
    <w:tbl>
      <w:tblPr>
        <w:tblpPr w:leftFromText="180" w:rightFromText="180" w:vertAnchor="text" w:horzAnchor="margin" w:tblpXSpec="center" w:tblpY="270"/>
        <w:tblW w:w="14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552"/>
        <w:gridCol w:w="2126"/>
        <w:gridCol w:w="1559"/>
        <w:gridCol w:w="2127"/>
        <w:gridCol w:w="2126"/>
        <w:gridCol w:w="1134"/>
        <w:gridCol w:w="1276"/>
        <w:gridCol w:w="1240"/>
      </w:tblGrid>
      <w:tr w:rsidR="00E133F7" w:rsidRPr="00FC559E" w:rsidTr="00EF1E30">
        <w:trPr>
          <w:trHeight w:val="567"/>
          <w:jc w:val="center"/>
        </w:trPr>
        <w:tc>
          <w:tcPr>
            <w:tcW w:w="675" w:type="dxa"/>
            <w:vAlign w:val="center"/>
          </w:tcPr>
          <w:p w:rsidR="00E133F7" w:rsidRPr="00FC559E" w:rsidRDefault="00E133F7" w:rsidP="00EF1E30">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序号</w:t>
            </w:r>
          </w:p>
        </w:tc>
        <w:tc>
          <w:tcPr>
            <w:tcW w:w="2552" w:type="dxa"/>
            <w:vAlign w:val="center"/>
          </w:tcPr>
          <w:p w:rsidR="00E133F7" w:rsidRPr="00FC559E" w:rsidRDefault="00E133F7" w:rsidP="00EF1E30">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论文专著名称</w:t>
            </w:r>
          </w:p>
        </w:tc>
        <w:tc>
          <w:tcPr>
            <w:tcW w:w="2126" w:type="dxa"/>
            <w:vAlign w:val="center"/>
          </w:tcPr>
          <w:p w:rsidR="00E133F7" w:rsidRPr="00FC559E" w:rsidRDefault="00E133F7" w:rsidP="00EF1E30">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刊名</w:t>
            </w:r>
          </w:p>
        </w:tc>
        <w:tc>
          <w:tcPr>
            <w:tcW w:w="1559" w:type="dxa"/>
            <w:vAlign w:val="center"/>
          </w:tcPr>
          <w:p w:rsidR="00E133F7" w:rsidRPr="00FC559E" w:rsidRDefault="00E133F7" w:rsidP="00EF1E30">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第一完成单位</w:t>
            </w:r>
          </w:p>
        </w:tc>
        <w:tc>
          <w:tcPr>
            <w:tcW w:w="2127" w:type="dxa"/>
            <w:vAlign w:val="center"/>
          </w:tcPr>
          <w:p w:rsidR="00E133F7" w:rsidRPr="00FC559E" w:rsidRDefault="00E133F7" w:rsidP="0049590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作者</w:t>
            </w:r>
          </w:p>
        </w:tc>
        <w:tc>
          <w:tcPr>
            <w:tcW w:w="2126" w:type="dxa"/>
            <w:vAlign w:val="center"/>
          </w:tcPr>
          <w:p w:rsidR="00E133F7" w:rsidRPr="00FC559E" w:rsidRDefault="00E133F7" w:rsidP="0049590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年卷页码</w:t>
            </w:r>
          </w:p>
        </w:tc>
        <w:tc>
          <w:tcPr>
            <w:tcW w:w="1134" w:type="dxa"/>
            <w:vAlign w:val="center"/>
          </w:tcPr>
          <w:p w:rsidR="00E133F7" w:rsidRPr="00FC559E" w:rsidRDefault="00E133F7" w:rsidP="0049590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发表时间</w:t>
            </w:r>
          </w:p>
        </w:tc>
        <w:tc>
          <w:tcPr>
            <w:tcW w:w="1276" w:type="dxa"/>
            <w:vAlign w:val="center"/>
          </w:tcPr>
          <w:p w:rsidR="00E133F7" w:rsidRPr="00FC559E" w:rsidRDefault="00E133F7" w:rsidP="0049590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通讯作者</w:t>
            </w:r>
          </w:p>
        </w:tc>
        <w:tc>
          <w:tcPr>
            <w:tcW w:w="1240" w:type="dxa"/>
            <w:vAlign w:val="center"/>
          </w:tcPr>
          <w:p w:rsidR="00E133F7" w:rsidRPr="00FC559E" w:rsidRDefault="00E133F7" w:rsidP="0049590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第一作者</w:t>
            </w:r>
          </w:p>
        </w:tc>
      </w:tr>
      <w:tr w:rsidR="00E133F7" w:rsidRPr="00FC559E" w:rsidTr="00495906">
        <w:trPr>
          <w:trHeight w:hRule="exact" w:val="2129"/>
          <w:jc w:val="center"/>
        </w:trPr>
        <w:tc>
          <w:tcPr>
            <w:tcW w:w="675" w:type="dxa"/>
            <w:vAlign w:val="center"/>
          </w:tcPr>
          <w:p w:rsidR="00E133F7" w:rsidRPr="00FC559E" w:rsidRDefault="00E133F7" w:rsidP="00EF1E30">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1</w:t>
            </w:r>
          </w:p>
        </w:tc>
        <w:tc>
          <w:tcPr>
            <w:tcW w:w="2552" w:type="dxa"/>
            <w:vAlign w:val="center"/>
          </w:tcPr>
          <w:p w:rsidR="00E133F7" w:rsidRPr="00FC559E" w:rsidRDefault="00E133F7"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Stachyose increases absorption and hepatoprotective effect of tea polyphenols in high fructose-fed mice</w:t>
            </w:r>
          </w:p>
        </w:tc>
        <w:tc>
          <w:tcPr>
            <w:tcW w:w="2126"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Molecular Nutrition &amp; Food Research</w:t>
            </w:r>
          </w:p>
        </w:tc>
        <w:tc>
          <w:tcPr>
            <w:tcW w:w="1559"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Wenfeng Li(李文峰), Di Huang（黄迪）, Anning Gao（郜安宁）,Xingbin Yang*</w:t>
            </w:r>
            <w:r w:rsidR="002E0D21" w:rsidRPr="00FC559E">
              <w:rPr>
                <w:rFonts w:ascii="华文仿宋" w:eastAsia="华文仿宋" w:hAnsi="华文仿宋"/>
                <w:sz w:val="21"/>
                <w:szCs w:val="21"/>
              </w:rPr>
              <w:t>（杨兴斌）</w:t>
            </w:r>
          </w:p>
        </w:tc>
        <w:tc>
          <w:tcPr>
            <w:tcW w:w="2126"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2016, 60, 502-510 (SCI一区, IF 4.323)</w:t>
            </w:r>
          </w:p>
        </w:tc>
        <w:tc>
          <w:tcPr>
            <w:tcW w:w="1134" w:type="dxa"/>
            <w:vAlign w:val="center"/>
          </w:tcPr>
          <w:p w:rsidR="00E133F7" w:rsidRPr="00FC559E" w:rsidRDefault="00E133F7" w:rsidP="00495906">
            <w:pPr>
              <w:rPr>
                <w:rFonts w:ascii="华文仿宋" w:eastAsia="华文仿宋" w:hAnsi="华文仿宋" w:cs="Times New Roman"/>
                <w:szCs w:val="21"/>
              </w:rPr>
            </w:pPr>
            <w:r w:rsidRPr="00FC559E">
              <w:rPr>
                <w:rFonts w:ascii="华文仿宋" w:eastAsia="华文仿宋" w:hAnsi="华文仿宋" w:cs="Times New Roman"/>
                <w:szCs w:val="21"/>
              </w:rPr>
              <w:t>2015.12.12</w:t>
            </w:r>
          </w:p>
        </w:tc>
        <w:tc>
          <w:tcPr>
            <w:tcW w:w="1276"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w:t>
            </w:r>
          </w:p>
        </w:tc>
        <w:tc>
          <w:tcPr>
            <w:tcW w:w="1240" w:type="dxa"/>
            <w:vAlign w:val="center"/>
          </w:tcPr>
          <w:p w:rsidR="00E133F7" w:rsidRPr="00FC559E" w:rsidRDefault="00E133F7"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李文峰</w:t>
            </w:r>
          </w:p>
        </w:tc>
      </w:tr>
      <w:tr w:rsidR="0047609F" w:rsidRPr="00FC559E" w:rsidTr="00495906">
        <w:trPr>
          <w:trHeight w:hRule="exact" w:val="2555"/>
          <w:jc w:val="center"/>
        </w:trPr>
        <w:tc>
          <w:tcPr>
            <w:tcW w:w="675" w:type="dxa"/>
            <w:vAlign w:val="center"/>
          </w:tcPr>
          <w:p w:rsidR="0047609F" w:rsidRPr="00FC559E" w:rsidRDefault="0047609F" w:rsidP="0047609F">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2</w:t>
            </w:r>
          </w:p>
        </w:tc>
        <w:tc>
          <w:tcPr>
            <w:tcW w:w="2552" w:type="dxa"/>
            <w:vAlign w:val="center"/>
          </w:tcPr>
          <w:p w:rsidR="0047609F" w:rsidRPr="00FC559E" w:rsidRDefault="0047609F"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Soluble soybean polysaccharides enhance the protective effects of genistein against hepatic injury in high L-carnitine-fed mice</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Yalong Lu（路亚龙）, Wenfeng Li*（李文峰）, Xingbin Yang*（杨兴斌）</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2017, 8, 4364-4373 (SCI一区, IF 3.289)</w:t>
            </w:r>
          </w:p>
        </w:tc>
        <w:tc>
          <w:tcPr>
            <w:tcW w:w="1134" w:type="dxa"/>
            <w:vAlign w:val="center"/>
          </w:tcPr>
          <w:p w:rsidR="0047609F" w:rsidRPr="00FC559E" w:rsidRDefault="0047609F" w:rsidP="00495906">
            <w:pPr>
              <w:rPr>
                <w:rFonts w:ascii="华文仿宋" w:eastAsia="华文仿宋" w:hAnsi="华文仿宋" w:cs="Times New Roman"/>
                <w:szCs w:val="21"/>
              </w:rPr>
            </w:pPr>
            <w:r w:rsidRPr="00FC559E">
              <w:rPr>
                <w:rFonts w:ascii="华文仿宋" w:eastAsia="华文仿宋" w:hAnsi="华文仿宋" w:cs="Times New Roman"/>
                <w:szCs w:val="21"/>
              </w:rPr>
              <w:t>2017.9.27</w:t>
            </w:r>
          </w:p>
        </w:tc>
        <w:tc>
          <w:tcPr>
            <w:tcW w:w="127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w:t>
            </w:r>
          </w:p>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李文峰</w:t>
            </w:r>
          </w:p>
        </w:tc>
        <w:tc>
          <w:tcPr>
            <w:tcW w:w="1240"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路亚龙</w:t>
            </w:r>
          </w:p>
        </w:tc>
      </w:tr>
      <w:tr w:rsidR="0047609F" w:rsidRPr="00FC559E" w:rsidTr="00495906">
        <w:trPr>
          <w:trHeight w:hRule="exact" w:val="2555"/>
          <w:jc w:val="center"/>
        </w:trPr>
        <w:tc>
          <w:tcPr>
            <w:tcW w:w="675" w:type="dxa"/>
            <w:vAlign w:val="center"/>
          </w:tcPr>
          <w:p w:rsidR="0047609F" w:rsidRPr="00FC559E" w:rsidRDefault="0047609F" w:rsidP="0047609F">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lastRenderedPageBreak/>
              <w:t>3</w:t>
            </w:r>
          </w:p>
        </w:tc>
        <w:tc>
          <w:tcPr>
            <w:tcW w:w="2552" w:type="dxa"/>
            <w:vAlign w:val="center"/>
          </w:tcPr>
          <w:p w:rsidR="0047609F" w:rsidRPr="00FC559E" w:rsidRDefault="0047609F"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 xml:space="preserve">Chemical characteristics of an Ilex Kuding tea polysaccharide and its protective effects against high fructose-induced liver injury and vascular endothelial dysfunction in mice </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Xichuan Zhai（</w:t>
            </w:r>
            <w:r w:rsidRPr="00FC559E">
              <w:rPr>
                <w:rFonts w:ascii="华文仿宋" w:eastAsia="华文仿宋" w:hAnsi="华文仿宋"/>
                <w:kern w:val="0"/>
                <w:sz w:val="21"/>
                <w:szCs w:val="21"/>
              </w:rPr>
              <w:t>翟希川</w:t>
            </w:r>
            <w:r w:rsidRPr="00FC559E">
              <w:rPr>
                <w:rFonts w:ascii="华文仿宋" w:eastAsia="华文仿宋" w:hAnsi="华文仿宋"/>
                <w:sz w:val="21"/>
                <w:szCs w:val="21"/>
              </w:rPr>
              <w:t>）,</w:t>
            </w:r>
            <w:r w:rsidRPr="00FC559E">
              <w:rPr>
                <w:rFonts w:ascii="华文仿宋" w:eastAsia="华文仿宋" w:hAnsi="华文仿宋"/>
                <w:i/>
                <w:sz w:val="21"/>
                <w:szCs w:val="21"/>
              </w:rPr>
              <w:t xml:space="preserve"> </w:t>
            </w:r>
            <w:r w:rsidRPr="00FC559E">
              <w:rPr>
                <w:rFonts w:ascii="华文仿宋" w:eastAsia="华文仿宋" w:hAnsi="华文仿宋"/>
                <w:sz w:val="21"/>
                <w:szCs w:val="21"/>
              </w:rPr>
              <w:t>Daoyuan Ren*（任道远）, Yiyang Luo（罗懿洋）, Yuanyuan Hu（胡园园）</w:t>
            </w:r>
            <w:r w:rsidRPr="00FC559E">
              <w:rPr>
                <w:rFonts w:ascii="华文仿宋" w:eastAsia="华文仿宋" w:hAnsi="华文仿宋"/>
                <w:color w:val="000000"/>
                <w:sz w:val="21"/>
                <w:szCs w:val="21"/>
              </w:rPr>
              <w:t>,</w:t>
            </w:r>
            <w:r w:rsidRPr="00FC559E">
              <w:rPr>
                <w:rFonts w:ascii="华文仿宋" w:eastAsia="华文仿宋" w:hAnsi="华文仿宋"/>
                <w:color w:val="FF0000"/>
                <w:sz w:val="21"/>
                <w:szCs w:val="21"/>
              </w:rPr>
              <w:t xml:space="preserve"> </w:t>
            </w:r>
            <w:r w:rsidRPr="00FC559E">
              <w:rPr>
                <w:rFonts w:ascii="华文仿宋" w:eastAsia="华文仿宋" w:hAnsi="华文仿宋"/>
                <w:sz w:val="21"/>
                <w:szCs w:val="21"/>
              </w:rPr>
              <w:t>Xingbin Yang*（</w:t>
            </w:r>
            <w:r w:rsidRPr="00FC559E">
              <w:rPr>
                <w:rFonts w:ascii="华文仿宋" w:eastAsia="华文仿宋" w:hAnsi="华文仿宋"/>
                <w:kern w:val="0"/>
                <w:sz w:val="21"/>
                <w:szCs w:val="21"/>
              </w:rPr>
              <w:t>杨兴斌</w:t>
            </w:r>
            <w:r w:rsidRPr="00FC559E">
              <w:rPr>
                <w:rFonts w:ascii="华文仿宋" w:eastAsia="华文仿宋" w:hAnsi="华文仿宋"/>
                <w:sz w:val="21"/>
                <w:szCs w:val="21"/>
              </w:rPr>
              <w:t>）</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2017, 8, 2536-2547 (SCI一区, IF 3.289)</w:t>
            </w:r>
          </w:p>
        </w:tc>
        <w:tc>
          <w:tcPr>
            <w:tcW w:w="1134" w:type="dxa"/>
            <w:vAlign w:val="center"/>
          </w:tcPr>
          <w:p w:rsidR="0047609F" w:rsidRPr="00FC559E" w:rsidRDefault="0047609F" w:rsidP="00495906">
            <w:pPr>
              <w:rPr>
                <w:rFonts w:ascii="华文仿宋" w:eastAsia="华文仿宋" w:hAnsi="华文仿宋" w:cs="Times New Roman"/>
                <w:szCs w:val="21"/>
              </w:rPr>
            </w:pPr>
            <w:r w:rsidRPr="00FC559E">
              <w:rPr>
                <w:rFonts w:ascii="华文仿宋" w:eastAsia="华文仿宋" w:hAnsi="华文仿宋" w:cs="Times New Roman"/>
                <w:szCs w:val="21"/>
              </w:rPr>
              <w:t>2017.07.01</w:t>
            </w:r>
          </w:p>
        </w:tc>
        <w:tc>
          <w:tcPr>
            <w:tcW w:w="127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杨兴斌，任道远</w:t>
            </w:r>
          </w:p>
        </w:tc>
        <w:tc>
          <w:tcPr>
            <w:tcW w:w="1240"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翟希川</w:t>
            </w:r>
          </w:p>
        </w:tc>
      </w:tr>
      <w:tr w:rsidR="0047609F" w:rsidRPr="00FC559E" w:rsidTr="00495906">
        <w:trPr>
          <w:trHeight w:hRule="exact" w:val="2555"/>
          <w:jc w:val="center"/>
        </w:trPr>
        <w:tc>
          <w:tcPr>
            <w:tcW w:w="675" w:type="dxa"/>
            <w:vAlign w:val="center"/>
          </w:tcPr>
          <w:p w:rsidR="0047609F" w:rsidRPr="00FC559E" w:rsidRDefault="00E613A6" w:rsidP="0047609F">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4</w:t>
            </w:r>
          </w:p>
        </w:tc>
        <w:tc>
          <w:tcPr>
            <w:tcW w:w="2552" w:type="dxa"/>
            <w:vAlign w:val="center"/>
          </w:tcPr>
          <w:p w:rsidR="0047609F" w:rsidRPr="00FC559E" w:rsidRDefault="0047609F" w:rsidP="00495906">
            <w:pPr>
              <w:pStyle w:val="a7"/>
              <w:adjustRightInd w:val="0"/>
              <w:spacing w:after="50" w:line="240" w:lineRule="auto"/>
              <w:ind w:firstLineChars="0" w:firstLine="0"/>
              <w:jc w:val="left"/>
              <w:outlineLvl w:val="1"/>
              <w:rPr>
                <w:rFonts w:ascii="华文仿宋" w:eastAsia="华文仿宋" w:hAnsi="华文仿宋"/>
                <w:bCs/>
                <w:kern w:val="0"/>
                <w:sz w:val="21"/>
                <w:szCs w:val="21"/>
              </w:rPr>
            </w:pPr>
            <w:r w:rsidRPr="00FC559E">
              <w:rPr>
                <w:rFonts w:ascii="华文仿宋" w:eastAsia="华文仿宋" w:hAnsi="华文仿宋"/>
                <w:sz w:val="21"/>
                <w:szCs w:val="21"/>
              </w:rPr>
              <w:t>Enhancing the hepatic protective effect of genistein by oral administration with stachyose in mice with chronic high fructose diet consumption</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47609F" w:rsidRPr="00FC559E" w:rsidRDefault="0047609F" w:rsidP="00FA284D">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Wenfeng Li（李文峰）, Zhao Li*（李照）, Xiao Han（</w:t>
            </w:r>
            <w:r w:rsidR="00FA284D">
              <w:rPr>
                <w:rFonts w:ascii="华文仿宋" w:eastAsia="华文仿宋" w:hAnsi="华文仿宋" w:hint="eastAsia"/>
                <w:kern w:val="0"/>
                <w:sz w:val="21"/>
                <w:szCs w:val="21"/>
              </w:rPr>
              <w:t>韩笑</w:t>
            </w:r>
            <w:r w:rsidRPr="00FC559E">
              <w:rPr>
                <w:rFonts w:ascii="华文仿宋" w:eastAsia="华文仿宋" w:hAnsi="华文仿宋"/>
                <w:kern w:val="0"/>
                <w:sz w:val="21"/>
                <w:szCs w:val="21"/>
              </w:rPr>
              <w:t>）, Di Huang（黄迪）, Yalong Lu（路亚龙）, Xingbin Yang*（杨兴斌）</w:t>
            </w:r>
          </w:p>
        </w:tc>
        <w:tc>
          <w:tcPr>
            <w:tcW w:w="212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2016, 7, 2420-2430 (SCI一区, IF 3.247)</w:t>
            </w:r>
          </w:p>
        </w:tc>
        <w:tc>
          <w:tcPr>
            <w:tcW w:w="1134" w:type="dxa"/>
            <w:vAlign w:val="center"/>
          </w:tcPr>
          <w:p w:rsidR="0047609F" w:rsidRPr="00FC559E" w:rsidRDefault="0047609F" w:rsidP="00495906">
            <w:pPr>
              <w:rPr>
                <w:rFonts w:ascii="华文仿宋" w:eastAsia="华文仿宋" w:hAnsi="华文仿宋" w:cs="Times New Roman"/>
                <w:szCs w:val="21"/>
              </w:rPr>
            </w:pPr>
            <w:r w:rsidRPr="00FC559E">
              <w:rPr>
                <w:rFonts w:ascii="华文仿宋" w:eastAsia="华文仿宋" w:hAnsi="华文仿宋" w:cs="Times New Roman"/>
                <w:szCs w:val="21"/>
              </w:rPr>
              <w:t>2016.4.21</w:t>
            </w:r>
          </w:p>
        </w:tc>
        <w:tc>
          <w:tcPr>
            <w:tcW w:w="1276"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杨兴斌，李照</w:t>
            </w:r>
          </w:p>
        </w:tc>
        <w:tc>
          <w:tcPr>
            <w:tcW w:w="1240" w:type="dxa"/>
            <w:vAlign w:val="center"/>
          </w:tcPr>
          <w:p w:rsidR="0047609F" w:rsidRPr="00FC559E" w:rsidRDefault="0047609F"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李文峰</w:t>
            </w:r>
          </w:p>
        </w:tc>
      </w:tr>
      <w:tr w:rsidR="00E613A6" w:rsidRPr="00FC559E" w:rsidTr="00495906">
        <w:trPr>
          <w:trHeight w:hRule="exact" w:val="3142"/>
          <w:jc w:val="center"/>
        </w:trPr>
        <w:tc>
          <w:tcPr>
            <w:tcW w:w="675" w:type="dxa"/>
            <w:tcBorders>
              <w:bottom w:val="single" w:sz="8" w:space="0" w:color="auto"/>
            </w:tcBorders>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5</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Evaluation of clinical safety and beneficial effects of stachyose-enriched α-galacto-oligosaccharides on gut microbiota and bowel function in humans</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color w:val="000000"/>
                <w:sz w:val="21"/>
                <w:szCs w:val="21"/>
              </w:rPr>
              <w:t>Ting Li（李婷）, Xinshan Lu（卢昕山）, Xingbin Yang*（杨兴斌）</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2017, 8, 262-269 (SCI一区, IF 3.247)</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2017.01.01</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李婷</w:t>
            </w:r>
          </w:p>
        </w:tc>
      </w:tr>
      <w:tr w:rsidR="00E613A6" w:rsidRPr="00FC559E" w:rsidTr="00495906">
        <w:trPr>
          <w:trHeight w:hRule="exact" w:val="3537"/>
          <w:jc w:val="center"/>
        </w:trPr>
        <w:tc>
          <w:tcPr>
            <w:tcW w:w="675" w:type="dxa"/>
            <w:tcBorders>
              <w:bottom w:val="single" w:sz="8" w:space="0" w:color="auto"/>
            </w:tcBorders>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lastRenderedPageBreak/>
              <w:t>6</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Chemical characterization of a novel polysaccharide ASKP-1 from Artemisia sphaerocephala Krasch seed and its macrophage activation via MAPK, PI3k/Akt and NF-kappa B signaling pathways in RAW264.7 cells</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color w:val="000000"/>
                <w:sz w:val="21"/>
                <w:szCs w:val="21"/>
              </w:rPr>
              <w:t>Daoyuan Ren（任道远）, Dehui Lin*（林德慧）, Aamina Alim（阿米娜）, Quan Zheng（郑泉）, Xingbin Yang*</w:t>
            </w:r>
            <w:r w:rsidR="002E0D21" w:rsidRPr="00FC559E">
              <w:rPr>
                <w:rFonts w:ascii="华文仿宋" w:eastAsia="华文仿宋" w:hAnsi="华文仿宋"/>
                <w:color w:val="000000"/>
                <w:sz w:val="21"/>
                <w:szCs w:val="21"/>
              </w:rPr>
              <w:t>（</w:t>
            </w:r>
            <w:r w:rsidRPr="00FC559E">
              <w:rPr>
                <w:rFonts w:ascii="华文仿宋" w:eastAsia="华文仿宋" w:hAnsi="华文仿宋"/>
                <w:kern w:val="0"/>
                <w:sz w:val="21"/>
                <w:szCs w:val="21"/>
              </w:rPr>
              <w:t>杨兴斌</w:t>
            </w:r>
            <w:r w:rsidR="002E0D21" w:rsidRPr="00FC559E">
              <w:rPr>
                <w:rFonts w:ascii="华文仿宋" w:eastAsia="华文仿宋" w:hAnsi="华文仿宋"/>
                <w:kern w:val="0"/>
                <w:sz w:val="21"/>
                <w:szCs w:val="21"/>
              </w:rPr>
              <w:t>）</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2017, 8, 1299-1312 (SCI一区, IF 3.247)</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2017.2.20</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杨兴斌，林德慧</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任道远</w:t>
            </w:r>
          </w:p>
        </w:tc>
      </w:tr>
      <w:tr w:rsidR="00E613A6" w:rsidRPr="00FC559E" w:rsidTr="00495906">
        <w:trPr>
          <w:trHeight w:hRule="exact" w:val="2292"/>
          <w:jc w:val="center"/>
        </w:trPr>
        <w:tc>
          <w:tcPr>
            <w:tcW w:w="675" w:type="dxa"/>
            <w:tcBorders>
              <w:bottom w:val="single" w:sz="8" w:space="0" w:color="auto"/>
            </w:tcBorders>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7</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Beneficial effects of apple peel polyphenols on vascular endothelial dysfunction and liver injury in high choline-fed mice</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sz w:val="21"/>
                <w:szCs w:val="21"/>
              </w:rPr>
              <w:t>Food &amp; Function</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color w:val="000000"/>
                <w:sz w:val="21"/>
                <w:szCs w:val="21"/>
              </w:rPr>
            </w:pPr>
            <w:r w:rsidRPr="00FC559E">
              <w:rPr>
                <w:rFonts w:ascii="华文仿宋" w:eastAsia="华文仿宋" w:hAnsi="华文仿宋"/>
                <w:color w:val="000000"/>
                <w:sz w:val="21"/>
                <w:szCs w:val="21"/>
              </w:rPr>
              <w:t>Mengfan Jia（贾梦凡）, Daoyuan Ren*（任道远）, Yan Nie（聂妍）, Xingbin Yang*（杨兴斌）</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2017, 8, 1282-1292 (SCI一区, IF 3.247)</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2017.2.13</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杨兴斌，任道远</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贾梦凡</w:t>
            </w:r>
          </w:p>
        </w:tc>
      </w:tr>
      <w:tr w:rsidR="00E613A6" w:rsidRPr="00FC559E" w:rsidTr="00495906">
        <w:trPr>
          <w:trHeight w:hRule="exact" w:val="2261"/>
          <w:jc w:val="center"/>
        </w:trPr>
        <w:tc>
          <w:tcPr>
            <w:tcW w:w="675" w:type="dxa"/>
            <w:tcBorders>
              <w:bottom w:val="single" w:sz="8" w:space="0" w:color="auto"/>
            </w:tcBorders>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8</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bookmarkStart w:id="36" w:name="OLE_LINK42"/>
            <w:bookmarkStart w:id="37" w:name="OLE_LINK43"/>
            <w:bookmarkStart w:id="38" w:name="OLE_LINK44"/>
            <w:r w:rsidRPr="00FC559E">
              <w:rPr>
                <w:rFonts w:ascii="华文仿宋" w:eastAsia="华文仿宋" w:hAnsi="华文仿宋"/>
                <w:sz w:val="21"/>
                <w:szCs w:val="21"/>
              </w:rPr>
              <w:t>Tartary buckwheat flavonoids protect hepatic cells against high glucose-induced oxidative stress and insulin resistance via MAPK signaling pathways</w:t>
            </w:r>
            <w:bookmarkEnd w:id="36"/>
            <w:bookmarkEnd w:id="37"/>
            <w:bookmarkEnd w:id="38"/>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i/>
                <w:sz w:val="21"/>
                <w:szCs w:val="21"/>
              </w:rPr>
              <w:t>Food &amp; Function</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Yuanyuan Hu（胡园园）, Zuoxu Hou（侯作旭）, Dongyang Liu（刘东阳）, Xingbin Yang*（杨兴斌）</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2016, 7, 1523-1536 (SCI一区, IF 3.247)</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2016.2.12</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杨兴斌</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胡园园</w:t>
            </w:r>
          </w:p>
        </w:tc>
      </w:tr>
      <w:tr w:rsidR="00E613A6" w:rsidRPr="00FC559E" w:rsidTr="00495906">
        <w:trPr>
          <w:trHeight w:hRule="exact" w:val="2859"/>
          <w:jc w:val="center"/>
        </w:trPr>
        <w:tc>
          <w:tcPr>
            <w:tcW w:w="675" w:type="dxa"/>
            <w:tcBorders>
              <w:bottom w:val="single" w:sz="8" w:space="0" w:color="auto"/>
            </w:tcBorders>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lastRenderedPageBreak/>
              <w:t>9</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The extraction efficiency enhancement of polyphenols from Ulmus pumila L. barks by trienzyme-assisted extraction</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bCs/>
                <w:i/>
                <w:kern w:val="0"/>
                <w:sz w:val="21"/>
                <w:szCs w:val="21"/>
              </w:rPr>
              <w:t>Industrial Crops and Products</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FA284D">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bCs/>
                <w:kern w:val="0"/>
                <w:sz w:val="21"/>
                <w:szCs w:val="21"/>
              </w:rPr>
              <w:t>Zhihao Zhou（</w:t>
            </w:r>
            <w:r w:rsidR="00492320" w:rsidRPr="00FC559E">
              <w:rPr>
                <w:rFonts w:ascii="华文仿宋" w:eastAsia="华文仿宋" w:hAnsi="华文仿宋"/>
                <w:bCs/>
                <w:kern w:val="0"/>
                <w:sz w:val="21"/>
                <w:szCs w:val="21"/>
              </w:rPr>
              <w:t>周志昊</w:t>
            </w:r>
            <w:r w:rsidRPr="00FC559E">
              <w:rPr>
                <w:rFonts w:ascii="华文仿宋" w:eastAsia="华文仿宋" w:hAnsi="华文仿宋"/>
                <w:bCs/>
                <w:kern w:val="0"/>
                <w:sz w:val="21"/>
                <w:szCs w:val="21"/>
              </w:rPr>
              <w:t>）, Hongjun Shao*（邵红军）, Xiao Han（</w:t>
            </w:r>
            <w:r w:rsidR="00FA284D">
              <w:rPr>
                <w:rFonts w:ascii="华文仿宋" w:eastAsia="华文仿宋" w:hAnsi="华文仿宋" w:hint="eastAsia"/>
                <w:kern w:val="0"/>
                <w:sz w:val="21"/>
                <w:szCs w:val="21"/>
              </w:rPr>
              <w:t>韩笑</w:t>
            </w:r>
            <w:r w:rsidRPr="00FC559E">
              <w:rPr>
                <w:rFonts w:ascii="华文仿宋" w:eastAsia="华文仿宋" w:hAnsi="华文仿宋"/>
                <w:bCs/>
                <w:kern w:val="0"/>
                <w:sz w:val="21"/>
                <w:szCs w:val="21"/>
              </w:rPr>
              <w:t>）, Kaijie Wang（王凯杰）, Cuiping Gong（龚翠萍）, Xingbin Yang*</w:t>
            </w:r>
            <w:r w:rsidRPr="00FC559E">
              <w:rPr>
                <w:rFonts w:ascii="华文仿宋" w:eastAsia="华文仿宋" w:hAnsi="华文仿宋"/>
                <w:kern w:val="0"/>
                <w:sz w:val="21"/>
                <w:szCs w:val="21"/>
              </w:rPr>
              <w:t>（杨兴斌）</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bCs/>
                <w:kern w:val="0"/>
                <w:sz w:val="21"/>
                <w:szCs w:val="21"/>
              </w:rPr>
              <w:t>2017, 97, 401-408</w:t>
            </w:r>
            <w:r w:rsidRPr="00FC559E">
              <w:rPr>
                <w:rFonts w:ascii="华文仿宋" w:eastAsia="华文仿宋" w:hAnsi="华文仿宋"/>
                <w:kern w:val="0"/>
                <w:sz w:val="21"/>
                <w:szCs w:val="21"/>
              </w:rPr>
              <w:t xml:space="preserve"> (</w:t>
            </w:r>
            <w:r w:rsidRPr="00FC559E">
              <w:rPr>
                <w:rFonts w:ascii="华文仿宋" w:eastAsia="华文仿宋" w:hAnsi="华文仿宋"/>
                <w:snapToGrid w:val="0"/>
                <w:sz w:val="21"/>
                <w:szCs w:val="21"/>
              </w:rPr>
              <w:t>SCI</w:t>
            </w:r>
            <w:r w:rsidRPr="00FC559E">
              <w:rPr>
                <w:rFonts w:ascii="华文仿宋" w:eastAsia="华文仿宋" w:hAnsi="华文仿宋"/>
                <w:bCs/>
                <w:snapToGrid w:val="0"/>
                <w:kern w:val="0"/>
                <w:sz w:val="21"/>
                <w:szCs w:val="21"/>
              </w:rPr>
              <w:t xml:space="preserve">一区, </w:t>
            </w:r>
            <w:r w:rsidRPr="00FC559E">
              <w:rPr>
                <w:rFonts w:ascii="华文仿宋" w:eastAsia="华文仿宋" w:hAnsi="华文仿宋"/>
                <w:snapToGrid w:val="0"/>
                <w:kern w:val="0"/>
                <w:sz w:val="21"/>
                <w:szCs w:val="21"/>
              </w:rPr>
              <w:t>IF 3.182</w:t>
            </w:r>
            <w:r w:rsidRPr="00FC559E">
              <w:rPr>
                <w:rFonts w:ascii="华文仿宋" w:eastAsia="华文仿宋" w:hAnsi="华文仿宋"/>
                <w:bCs/>
                <w:snapToGrid w:val="0"/>
                <w:kern w:val="0"/>
                <w:sz w:val="21"/>
                <w:szCs w:val="21"/>
              </w:rPr>
              <w:t>)</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bCs/>
                <w:snapToGrid w:val="0"/>
                <w:color w:val="000000"/>
                <w:kern w:val="0"/>
                <w:szCs w:val="21"/>
              </w:rPr>
              <w:t>2017.1.4</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杨兴斌，邵红军</w:t>
            </w:r>
          </w:p>
        </w:tc>
        <w:tc>
          <w:tcPr>
            <w:tcW w:w="1240" w:type="dxa"/>
            <w:tcBorders>
              <w:bottom w:val="single" w:sz="8" w:space="0" w:color="auto"/>
            </w:tcBorders>
            <w:vAlign w:val="center"/>
          </w:tcPr>
          <w:p w:rsidR="00E613A6" w:rsidRPr="00FC559E" w:rsidRDefault="00492320"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周志昊</w:t>
            </w:r>
          </w:p>
        </w:tc>
      </w:tr>
      <w:tr w:rsidR="00E613A6" w:rsidRPr="00FC559E" w:rsidTr="00495906">
        <w:trPr>
          <w:trHeight w:hRule="exact" w:val="2970"/>
          <w:jc w:val="center"/>
        </w:trPr>
        <w:tc>
          <w:tcPr>
            <w:tcW w:w="675" w:type="dxa"/>
            <w:tcBorders>
              <w:bottom w:val="single" w:sz="8" w:space="0" w:color="auto"/>
            </w:tcBorders>
            <w:vAlign w:val="center"/>
          </w:tcPr>
          <w:p w:rsidR="00E613A6" w:rsidRPr="00FC559E" w:rsidRDefault="002135CA"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10</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Encapsulation in lysozyme/A. Sphaerocephala Krasch polysaccharide nanoparticles increases stability and bioefficacy of curcumin</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iCs/>
                <w:snapToGrid w:val="0"/>
                <w:color w:val="000000"/>
                <w:kern w:val="0"/>
                <w:sz w:val="21"/>
                <w:szCs w:val="21"/>
              </w:rPr>
              <w:t>Journal of Functional Foods</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Daoyuan Ren（任道远）, Jianrui Qi（齐建瑞）, Anqi Xie（谢安琪）, Mengfan Jia（贾梦凡）, Xingbin Yang*（杨兴斌）, Han Xiao*（</w:t>
            </w:r>
            <w:r w:rsidR="00E03072">
              <w:rPr>
                <w:rFonts w:ascii="华文仿宋" w:eastAsia="华文仿宋" w:hAnsi="华文仿宋" w:hint="eastAsia"/>
                <w:kern w:val="0"/>
                <w:sz w:val="21"/>
                <w:szCs w:val="21"/>
              </w:rPr>
              <w:t>肖航</w:t>
            </w:r>
            <w:r w:rsidRPr="00FC559E">
              <w:rPr>
                <w:rFonts w:ascii="华文仿宋" w:eastAsia="华文仿宋" w:hAnsi="华文仿宋"/>
                <w:kern w:val="0"/>
                <w:sz w:val="21"/>
                <w:szCs w:val="21"/>
              </w:rPr>
              <w:t>）</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 xml:space="preserve">2017, 38, 100-109 </w:t>
            </w:r>
            <w:r w:rsidRPr="00FC559E">
              <w:rPr>
                <w:rFonts w:ascii="华文仿宋" w:eastAsia="华文仿宋" w:hAnsi="华文仿宋"/>
                <w:color w:val="000000"/>
                <w:kern w:val="0"/>
                <w:sz w:val="21"/>
                <w:szCs w:val="21"/>
              </w:rPr>
              <w:t>(</w:t>
            </w:r>
            <w:r w:rsidRPr="00FC559E">
              <w:rPr>
                <w:rFonts w:ascii="华文仿宋" w:eastAsia="华文仿宋" w:hAnsi="华文仿宋"/>
                <w:snapToGrid w:val="0"/>
                <w:color w:val="000000"/>
                <w:sz w:val="21"/>
                <w:szCs w:val="21"/>
              </w:rPr>
              <w:t>SCI</w:t>
            </w:r>
            <w:r w:rsidRPr="00FC559E">
              <w:rPr>
                <w:rFonts w:ascii="华文仿宋" w:eastAsia="华文仿宋" w:hAnsi="华文仿宋"/>
                <w:bCs/>
                <w:snapToGrid w:val="0"/>
                <w:color w:val="000000"/>
                <w:kern w:val="0"/>
                <w:sz w:val="21"/>
                <w:szCs w:val="21"/>
              </w:rPr>
              <w:t xml:space="preserve">一区, </w:t>
            </w:r>
            <w:r w:rsidRPr="00FC559E">
              <w:rPr>
                <w:rFonts w:ascii="华文仿宋" w:eastAsia="华文仿宋" w:hAnsi="华文仿宋"/>
                <w:snapToGrid w:val="0"/>
                <w:color w:val="000000"/>
                <w:kern w:val="0"/>
                <w:sz w:val="21"/>
                <w:szCs w:val="21"/>
              </w:rPr>
              <w:t xml:space="preserve">IF </w:t>
            </w:r>
            <w:r w:rsidRPr="00FC559E">
              <w:rPr>
                <w:rFonts w:ascii="华文仿宋" w:eastAsia="华文仿宋" w:hAnsi="华文仿宋"/>
                <w:snapToGrid w:val="0"/>
                <w:kern w:val="0"/>
                <w:sz w:val="21"/>
                <w:szCs w:val="21"/>
              </w:rPr>
              <w:t>2.857</w:t>
            </w:r>
            <w:r w:rsidRPr="00FC559E">
              <w:rPr>
                <w:rFonts w:ascii="华文仿宋" w:eastAsia="华文仿宋" w:hAnsi="华文仿宋"/>
                <w:bCs/>
                <w:snapToGrid w:val="0"/>
                <w:kern w:val="0"/>
                <w:sz w:val="21"/>
                <w:szCs w:val="21"/>
              </w:rPr>
              <w:t>)</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bCs/>
                <w:snapToGrid w:val="0"/>
                <w:color w:val="000000"/>
                <w:kern w:val="0"/>
                <w:szCs w:val="21"/>
              </w:rPr>
              <w:t>2017.09.09</w:t>
            </w:r>
          </w:p>
        </w:tc>
        <w:tc>
          <w:tcPr>
            <w:tcW w:w="1276" w:type="dxa"/>
            <w:tcBorders>
              <w:bottom w:val="single" w:sz="8" w:space="0" w:color="auto"/>
            </w:tcBorders>
            <w:vAlign w:val="center"/>
          </w:tcPr>
          <w:p w:rsidR="00E613A6" w:rsidRPr="00FC559E" w:rsidRDefault="00E613A6" w:rsidP="00E03072">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w:t>
            </w:r>
            <w:r w:rsidR="00E03072">
              <w:rPr>
                <w:rFonts w:ascii="华文仿宋" w:eastAsia="华文仿宋" w:hAnsi="华文仿宋" w:hint="eastAsia"/>
                <w:kern w:val="0"/>
                <w:sz w:val="21"/>
                <w:szCs w:val="21"/>
              </w:rPr>
              <w:t>肖</w:t>
            </w:r>
            <w:r w:rsidR="00A64AAE">
              <w:rPr>
                <w:rFonts w:ascii="华文仿宋" w:eastAsia="华文仿宋" w:hAnsi="华文仿宋" w:hint="eastAsia"/>
                <w:kern w:val="0"/>
                <w:sz w:val="21"/>
                <w:szCs w:val="21"/>
              </w:rPr>
              <w:t>航</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任道远</w:t>
            </w:r>
          </w:p>
        </w:tc>
      </w:tr>
      <w:tr w:rsidR="00E613A6" w:rsidRPr="00FC559E" w:rsidTr="00495906">
        <w:trPr>
          <w:trHeight w:hRule="exact" w:val="3000"/>
          <w:jc w:val="center"/>
        </w:trPr>
        <w:tc>
          <w:tcPr>
            <w:tcW w:w="675" w:type="dxa"/>
            <w:tcBorders>
              <w:bottom w:val="single" w:sz="8" w:space="0" w:color="auto"/>
            </w:tcBorders>
            <w:vAlign w:val="center"/>
          </w:tcPr>
          <w:p w:rsidR="00E613A6" w:rsidRPr="00FC559E" w:rsidRDefault="002135CA"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lastRenderedPageBreak/>
              <w:t>11</w:t>
            </w:r>
          </w:p>
        </w:tc>
        <w:tc>
          <w:tcPr>
            <w:tcW w:w="2552"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Selenium-containing polysaccharide from Ziyang green tea ameliorates high-fructose diet induced insulin resistance and hepatic oxidative stress in mice</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i/>
                <w:sz w:val="21"/>
                <w:szCs w:val="21"/>
              </w:rPr>
            </w:pPr>
            <w:r w:rsidRPr="00FC559E">
              <w:rPr>
                <w:rFonts w:ascii="华文仿宋" w:eastAsia="华文仿宋" w:hAnsi="华文仿宋"/>
                <w:i/>
                <w:kern w:val="0"/>
                <w:sz w:val="21"/>
                <w:szCs w:val="21"/>
              </w:rPr>
              <w:t>Food &amp; Function</w:t>
            </w:r>
          </w:p>
        </w:tc>
        <w:tc>
          <w:tcPr>
            <w:tcW w:w="1559"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Style w:val="redtxts4"/>
                <w:rFonts w:ascii="华文仿宋" w:eastAsia="华文仿宋" w:hAnsi="华文仿宋"/>
                <w:sz w:val="21"/>
                <w:szCs w:val="21"/>
                <w:lang w:val="en"/>
              </w:rPr>
              <w:t>Daoyuan Ren（任道远）, Yuanyuan Hu（胡园园）, Yiyang Luo（罗懿洋）, Xingbin Yang*（杨兴斌）</w:t>
            </w:r>
          </w:p>
        </w:tc>
        <w:tc>
          <w:tcPr>
            <w:tcW w:w="212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2015, 6 (10), 3342-3350 (SCI一区, IF 2.686)</w:t>
            </w:r>
          </w:p>
        </w:tc>
        <w:tc>
          <w:tcPr>
            <w:tcW w:w="1134" w:type="dxa"/>
            <w:tcBorders>
              <w:bottom w:val="single" w:sz="8" w:space="0" w:color="auto"/>
            </w:tcBorders>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2015.7.24</w:t>
            </w:r>
          </w:p>
        </w:tc>
        <w:tc>
          <w:tcPr>
            <w:tcW w:w="1276"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杨兴斌</w:t>
            </w:r>
          </w:p>
        </w:tc>
        <w:tc>
          <w:tcPr>
            <w:tcW w:w="1240" w:type="dxa"/>
            <w:tcBorders>
              <w:bottom w:val="single" w:sz="8" w:space="0" w:color="auto"/>
            </w:tcBorders>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任道远</w:t>
            </w:r>
          </w:p>
        </w:tc>
      </w:tr>
      <w:tr w:rsidR="00E613A6" w:rsidRPr="00FC559E" w:rsidTr="00495906">
        <w:trPr>
          <w:trHeight w:hRule="exact" w:val="2844"/>
          <w:jc w:val="center"/>
        </w:trPr>
        <w:tc>
          <w:tcPr>
            <w:tcW w:w="675" w:type="dxa"/>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12</w:t>
            </w:r>
          </w:p>
        </w:tc>
        <w:tc>
          <w:tcPr>
            <w:tcW w:w="2552" w:type="dxa"/>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 xml:space="preserve">Myricetin derived from Hovenia dulcis Thunb. ameliorates vascular endothelial dysfunction and liver injury in high choline-fed mice </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i/>
                <w:kern w:val="0"/>
                <w:sz w:val="21"/>
                <w:szCs w:val="21"/>
              </w:rPr>
              <w:t>Food &amp; Function</w:t>
            </w:r>
          </w:p>
        </w:tc>
        <w:tc>
          <w:tcPr>
            <w:tcW w:w="1559"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Jianjun Guo（郭建军）, Yonghong Meng（孟永宏）, Yan Zhao（赵燕）, Yuanyuan Hu（胡园园）, Daoyuan Ren（任道远）, Xingbin Yang*（杨兴斌）</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2015, 6, 1620-1634 (SCI一区, IF 2.686)</w:t>
            </w:r>
          </w:p>
        </w:tc>
        <w:tc>
          <w:tcPr>
            <w:tcW w:w="1134" w:type="dxa"/>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2015.4.7</w:t>
            </w:r>
          </w:p>
        </w:tc>
        <w:tc>
          <w:tcPr>
            <w:tcW w:w="127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杨兴斌</w:t>
            </w:r>
          </w:p>
        </w:tc>
        <w:tc>
          <w:tcPr>
            <w:tcW w:w="1240"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郭建军</w:t>
            </w:r>
          </w:p>
        </w:tc>
      </w:tr>
      <w:tr w:rsidR="00E613A6" w:rsidRPr="00FC559E" w:rsidTr="00495906">
        <w:trPr>
          <w:trHeight w:hRule="exact" w:val="1978"/>
          <w:jc w:val="center"/>
        </w:trPr>
        <w:tc>
          <w:tcPr>
            <w:tcW w:w="675" w:type="dxa"/>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13</w:t>
            </w:r>
          </w:p>
        </w:tc>
        <w:tc>
          <w:tcPr>
            <w:tcW w:w="2552" w:type="dxa"/>
            <w:vAlign w:val="center"/>
          </w:tcPr>
          <w:p w:rsidR="00E613A6" w:rsidRPr="00FC559E" w:rsidRDefault="00B8414D" w:rsidP="00495906">
            <w:pPr>
              <w:pStyle w:val="a7"/>
              <w:adjustRightInd w:val="0"/>
              <w:spacing w:after="50" w:line="240" w:lineRule="auto"/>
              <w:ind w:firstLineChars="0" w:firstLine="0"/>
              <w:jc w:val="left"/>
              <w:outlineLvl w:val="1"/>
              <w:rPr>
                <w:rFonts w:ascii="华文仿宋" w:eastAsia="华文仿宋" w:hAnsi="华文仿宋"/>
                <w:sz w:val="21"/>
                <w:szCs w:val="21"/>
              </w:rPr>
            </w:pPr>
            <w:hyperlink r:id="rId8" w:history="1">
              <w:r w:rsidR="00E613A6" w:rsidRPr="00FC559E">
                <w:rPr>
                  <w:rFonts w:ascii="华文仿宋" w:eastAsia="华文仿宋" w:hAnsi="华文仿宋"/>
                  <w:sz w:val="21"/>
                  <w:szCs w:val="21"/>
                </w:rPr>
                <w:t>Protective effects of tartary buckwheat flavonoids on high TMAO diet-induced vascular dysfunction and liver injury in mice</w:t>
              </w:r>
            </w:hyperlink>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i/>
                <w:kern w:val="0"/>
                <w:sz w:val="21"/>
                <w:szCs w:val="21"/>
              </w:rPr>
              <w:t>Food &amp; Function</w:t>
            </w:r>
          </w:p>
        </w:tc>
        <w:tc>
          <w:tcPr>
            <w:tcW w:w="1559"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Style w:val="redtxts4"/>
                <w:rFonts w:ascii="华文仿宋" w:eastAsia="华文仿宋" w:hAnsi="华文仿宋"/>
                <w:sz w:val="21"/>
                <w:szCs w:val="21"/>
                <w:lang w:val="en"/>
              </w:rPr>
              <w:t>Yuanyuan Hu（胡园园）, Yan Zhao*（赵燕）, Li Yuan（袁莉）, Xingbin Yang*（杨兴斌）</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2015, 6 (10), 3359-3370 (SCI一区, IF 2.686)</w:t>
            </w:r>
          </w:p>
        </w:tc>
        <w:tc>
          <w:tcPr>
            <w:tcW w:w="1134" w:type="dxa"/>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2015.7.24</w:t>
            </w:r>
          </w:p>
        </w:tc>
        <w:tc>
          <w:tcPr>
            <w:tcW w:w="127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杨兴斌，赵燕</w:t>
            </w:r>
          </w:p>
        </w:tc>
        <w:tc>
          <w:tcPr>
            <w:tcW w:w="1240"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胡园园</w:t>
            </w:r>
          </w:p>
        </w:tc>
      </w:tr>
      <w:tr w:rsidR="00E613A6" w:rsidRPr="00FC559E" w:rsidTr="00495906">
        <w:trPr>
          <w:trHeight w:hRule="exact" w:val="2433"/>
          <w:jc w:val="center"/>
        </w:trPr>
        <w:tc>
          <w:tcPr>
            <w:tcW w:w="675" w:type="dxa"/>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lastRenderedPageBreak/>
              <w:t>14</w:t>
            </w:r>
          </w:p>
        </w:tc>
        <w:tc>
          <w:tcPr>
            <w:tcW w:w="2552" w:type="dxa"/>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bookmarkStart w:id="39" w:name="OLE_LINK15"/>
            <w:bookmarkStart w:id="40" w:name="OLE_LINK16"/>
            <w:bookmarkStart w:id="41" w:name="OLE_LINK20"/>
            <w:bookmarkStart w:id="42" w:name="OLE_LINK21"/>
            <w:r w:rsidRPr="00FC559E">
              <w:rPr>
                <w:rFonts w:ascii="华文仿宋" w:eastAsia="华文仿宋" w:hAnsi="华文仿宋"/>
                <w:sz w:val="21"/>
                <w:szCs w:val="21"/>
              </w:rPr>
              <w:t>Evaluation of antioxidative and antitumor activities of extracted flavonoids from Pink Lady apples in human colon and breast cancer cell lines</w:t>
            </w:r>
            <w:bookmarkEnd w:id="39"/>
            <w:bookmarkEnd w:id="40"/>
            <w:bookmarkEnd w:id="41"/>
            <w:bookmarkEnd w:id="42"/>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i/>
                <w:sz w:val="21"/>
                <w:szCs w:val="21"/>
              </w:rPr>
              <w:t>Food &amp; Function</w:t>
            </w:r>
          </w:p>
        </w:tc>
        <w:tc>
          <w:tcPr>
            <w:tcW w:w="1559"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Shufang Yang（杨淑芳）, Haisheng Zhang*（张海生）, Xingbin Yang（杨兴斌）, Yilin Zhu（朱艺林）, Min Zhang（张敏）</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 xml:space="preserve">2015, </w:t>
            </w:r>
            <w:r w:rsidRPr="00FC559E">
              <w:rPr>
                <w:rFonts w:ascii="华文仿宋" w:eastAsia="华文仿宋" w:hAnsi="华文仿宋"/>
                <w:kern w:val="0"/>
                <w:sz w:val="21"/>
                <w:szCs w:val="21"/>
              </w:rPr>
              <w:t xml:space="preserve">6 (12), 3789-3798 </w:t>
            </w:r>
            <w:r w:rsidRPr="00FC559E">
              <w:rPr>
                <w:rFonts w:ascii="华文仿宋" w:eastAsia="华文仿宋" w:hAnsi="华文仿宋"/>
                <w:sz w:val="21"/>
                <w:szCs w:val="21"/>
              </w:rPr>
              <w:t>(SCI一区, IF 2.686)</w:t>
            </w:r>
          </w:p>
        </w:tc>
        <w:tc>
          <w:tcPr>
            <w:tcW w:w="1134" w:type="dxa"/>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2015.9.15</w:t>
            </w:r>
          </w:p>
        </w:tc>
        <w:tc>
          <w:tcPr>
            <w:tcW w:w="127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张海生</w:t>
            </w:r>
          </w:p>
        </w:tc>
        <w:tc>
          <w:tcPr>
            <w:tcW w:w="1240"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杨淑芳</w:t>
            </w:r>
          </w:p>
        </w:tc>
      </w:tr>
      <w:tr w:rsidR="00E613A6" w:rsidRPr="00FC559E" w:rsidTr="00495906">
        <w:trPr>
          <w:trHeight w:hRule="exact" w:val="2698"/>
          <w:jc w:val="center"/>
        </w:trPr>
        <w:tc>
          <w:tcPr>
            <w:tcW w:w="675" w:type="dxa"/>
            <w:vAlign w:val="center"/>
          </w:tcPr>
          <w:p w:rsidR="00E613A6" w:rsidRPr="00FC559E" w:rsidRDefault="00E613A6" w:rsidP="00E613A6">
            <w:pPr>
              <w:pStyle w:val="a7"/>
              <w:adjustRightInd w:val="0"/>
              <w:spacing w:after="50" w:line="240" w:lineRule="auto"/>
              <w:ind w:firstLineChars="0" w:firstLine="0"/>
              <w:jc w:val="center"/>
              <w:outlineLvl w:val="1"/>
              <w:rPr>
                <w:rFonts w:ascii="华文仿宋" w:eastAsia="华文仿宋" w:hAnsi="华文仿宋"/>
                <w:sz w:val="21"/>
                <w:szCs w:val="21"/>
              </w:rPr>
            </w:pPr>
            <w:r w:rsidRPr="00FC559E">
              <w:rPr>
                <w:rFonts w:ascii="华文仿宋" w:eastAsia="华文仿宋" w:hAnsi="华文仿宋"/>
                <w:sz w:val="21"/>
                <w:szCs w:val="21"/>
              </w:rPr>
              <w:t>15</w:t>
            </w:r>
          </w:p>
        </w:tc>
        <w:tc>
          <w:tcPr>
            <w:tcW w:w="2552" w:type="dxa"/>
            <w:vAlign w:val="center"/>
          </w:tcPr>
          <w:p w:rsidR="00E613A6" w:rsidRPr="00FC559E" w:rsidRDefault="00E613A6" w:rsidP="00495906">
            <w:pPr>
              <w:pStyle w:val="a7"/>
              <w:adjustRightInd w:val="0"/>
              <w:spacing w:after="50" w:line="240" w:lineRule="auto"/>
              <w:ind w:firstLineChars="0" w:firstLine="0"/>
              <w:jc w:val="left"/>
              <w:outlineLvl w:val="1"/>
              <w:rPr>
                <w:rFonts w:ascii="华文仿宋" w:eastAsia="华文仿宋" w:hAnsi="华文仿宋"/>
                <w:sz w:val="21"/>
                <w:szCs w:val="21"/>
              </w:rPr>
            </w:pPr>
            <w:r w:rsidRPr="00FC559E">
              <w:rPr>
                <w:rFonts w:ascii="华文仿宋" w:eastAsia="华文仿宋" w:hAnsi="华文仿宋"/>
                <w:sz w:val="21"/>
                <w:szCs w:val="21"/>
              </w:rPr>
              <w:t>Effects of stachyose on absorption and transportation of tea catechins in mice: possible role of Phase II metabolic enzymes and efflux transporters inhibition by stachyose</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i/>
                <w:sz w:val="21"/>
                <w:szCs w:val="21"/>
              </w:rPr>
              <w:t>Food &amp; Nutrition Research</w:t>
            </w:r>
          </w:p>
        </w:tc>
        <w:tc>
          <w:tcPr>
            <w:tcW w:w="1559"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127" w:type="dxa"/>
            <w:vAlign w:val="center"/>
          </w:tcPr>
          <w:p w:rsidR="00E613A6" w:rsidRPr="00FC559E" w:rsidRDefault="00E613A6" w:rsidP="00FA284D">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Wenfeng Li（李文峰）, Yalong Lu（路亚龙）, Di Huang（黄迪）, Xiao Han（</w:t>
            </w:r>
            <w:r w:rsidR="00FA284D">
              <w:rPr>
                <w:rFonts w:ascii="华文仿宋" w:eastAsia="华文仿宋" w:hAnsi="华文仿宋" w:hint="eastAsia"/>
                <w:kern w:val="0"/>
                <w:sz w:val="21"/>
                <w:szCs w:val="21"/>
              </w:rPr>
              <w:t>韩</w:t>
            </w:r>
            <w:r w:rsidR="00FA284D">
              <w:rPr>
                <w:rFonts w:ascii="华文仿宋" w:eastAsia="华文仿宋" w:hAnsi="华文仿宋"/>
                <w:kern w:val="0"/>
                <w:sz w:val="21"/>
                <w:szCs w:val="21"/>
              </w:rPr>
              <w:t>笑</w:t>
            </w:r>
            <w:bookmarkStart w:id="43" w:name="_GoBack"/>
            <w:bookmarkEnd w:id="43"/>
            <w:r w:rsidRPr="00FC559E">
              <w:rPr>
                <w:rFonts w:ascii="华文仿宋" w:eastAsia="华文仿宋" w:hAnsi="华文仿宋"/>
                <w:sz w:val="21"/>
                <w:szCs w:val="21"/>
              </w:rPr>
              <w:t>）, Xingbin Yang*（杨兴斌）</w:t>
            </w:r>
          </w:p>
        </w:tc>
        <w:tc>
          <w:tcPr>
            <w:tcW w:w="212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sz w:val="21"/>
                <w:szCs w:val="21"/>
              </w:rPr>
              <w:t>2016, 60, e32783 (SCI二区, IF 2.039)</w:t>
            </w:r>
          </w:p>
        </w:tc>
        <w:tc>
          <w:tcPr>
            <w:tcW w:w="1134" w:type="dxa"/>
            <w:vAlign w:val="center"/>
          </w:tcPr>
          <w:p w:rsidR="00E613A6" w:rsidRPr="00FC559E" w:rsidRDefault="00E613A6" w:rsidP="00495906">
            <w:pPr>
              <w:rPr>
                <w:rFonts w:ascii="华文仿宋" w:eastAsia="华文仿宋" w:hAnsi="华文仿宋" w:cs="Times New Roman"/>
                <w:szCs w:val="21"/>
              </w:rPr>
            </w:pPr>
            <w:r w:rsidRPr="00FC559E">
              <w:rPr>
                <w:rFonts w:ascii="华文仿宋" w:eastAsia="华文仿宋" w:hAnsi="华文仿宋" w:cs="Times New Roman"/>
                <w:szCs w:val="21"/>
              </w:rPr>
              <w:t>2016.10.24</w:t>
            </w:r>
          </w:p>
        </w:tc>
        <w:tc>
          <w:tcPr>
            <w:tcW w:w="1276"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sz w:val="21"/>
                <w:szCs w:val="21"/>
              </w:rPr>
            </w:pPr>
            <w:r w:rsidRPr="00FC559E">
              <w:rPr>
                <w:rFonts w:ascii="华文仿宋" w:eastAsia="华文仿宋" w:hAnsi="华文仿宋"/>
                <w:kern w:val="0"/>
                <w:sz w:val="21"/>
                <w:szCs w:val="21"/>
              </w:rPr>
              <w:t>杨兴斌</w:t>
            </w:r>
          </w:p>
        </w:tc>
        <w:tc>
          <w:tcPr>
            <w:tcW w:w="1240" w:type="dxa"/>
            <w:vAlign w:val="center"/>
          </w:tcPr>
          <w:p w:rsidR="00E613A6" w:rsidRPr="00FC559E" w:rsidRDefault="00E613A6" w:rsidP="00495906">
            <w:pPr>
              <w:pStyle w:val="a7"/>
              <w:adjustRightInd w:val="0"/>
              <w:spacing w:after="50" w:line="240" w:lineRule="auto"/>
              <w:ind w:firstLineChars="0" w:firstLine="0"/>
              <w:outlineLvl w:val="1"/>
              <w:rPr>
                <w:rFonts w:ascii="华文仿宋" w:eastAsia="华文仿宋" w:hAnsi="华文仿宋"/>
                <w:kern w:val="0"/>
                <w:sz w:val="21"/>
                <w:szCs w:val="21"/>
              </w:rPr>
            </w:pPr>
            <w:r w:rsidRPr="00FC559E">
              <w:rPr>
                <w:rFonts w:ascii="华文仿宋" w:eastAsia="华文仿宋" w:hAnsi="华文仿宋"/>
                <w:kern w:val="0"/>
                <w:sz w:val="21"/>
                <w:szCs w:val="21"/>
              </w:rPr>
              <w:t>李文峰</w:t>
            </w:r>
          </w:p>
        </w:tc>
      </w:tr>
    </w:tbl>
    <w:p w:rsidR="00E133F7" w:rsidRPr="00FC559E" w:rsidRDefault="00E133F7" w:rsidP="00E133F7">
      <w:pPr>
        <w:ind w:left="240" w:hangingChars="100" w:hanging="240"/>
        <w:rPr>
          <w:rFonts w:eastAsia="TimesNewRoman"/>
          <w:kern w:val="0"/>
          <w:sz w:val="24"/>
          <w:szCs w:val="24"/>
        </w:rPr>
      </w:pPr>
      <w:r w:rsidRPr="00FC559E">
        <w:rPr>
          <w:rFonts w:eastAsia="TimesNewRoman"/>
          <w:kern w:val="0"/>
          <w:sz w:val="24"/>
          <w:szCs w:val="24"/>
        </w:rPr>
        <w:t xml:space="preserve"> </w:t>
      </w:r>
    </w:p>
    <w:p w:rsidR="00B16D16" w:rsidRPr="00FC559E" w:rsidRDefault="00B16D16">
      <w:pPr>
        <w:widowControl/>
        <w:jc w:val="left"/>
        <w:rPr>
          <w:rFonts w:ascii="宋体" w:eastAsia="宋体" w:hAnsi="宋体" w:cs="Courier"/>
          <w:b/>
          <w:kern w:val="0"/>
          <w:sz w:val="28"/>
          <w:szCs w:val="28"/>
        </w:rPr>
      </w:pPr>
      <w:r w:rsidRPr="00FC559E">
        <w:rPr>
          <w:rFonts w:ascii="宋体" w:hAnsi="宋体" w:cs="Courier"/>
          <w:b/>
          <w:kern w:val="0"/>
          <w:sz w:val="28"/>
          <w:szCs w:val="28"/>
        </w:rPr>
        <w:br w:type="page"/>
      </w:r>
    </w:p>
    <w:p w:rsidR="006911CD" w:rsidRPr="00FC559E" w:rsidRDefault="006911CD" w:rsidP="00E133F7">
      <w:pPr>
        <w:pStyle w:val="a7"/>
        <w:ind w:firstLineChars="0" w:firstLine="0"/>
        <w:jc w:val="center"/>
        <w:outlineLvl w:val="1"/>
        <w:rPr>
          <w:rFonts w:ascii="宋体" w:hAnsi="宋体" w:cs="Courier"/>
          <w:b/>
          <w:kern w:val="0"/>
          <w:sz w:val="28"/>
          <w:szCs w:val="28"/>
        </w:rPr>
      </w:pPr>
    </w:p>
    <w:p w:rsidR="00E133F7" w:rsidRPr="00FC559E" w:rsidRDefault="00E133F7" w:rsidP="00E133F7">
      <w:pPr>
        <w:pStyle w:val="a7"/>
        <w:ind w:firstLineChars="0" w:firstLine="0"/>
        <w:jc w:val="center"/>
        <w:outlineLvl w:val="1"/>
        <w:rPr>
          <w:rFonts w:ascii="宋体" w:hAnsi="宋体" w:cs="Courier"/>
          <w:b/>
          <w:kern w:val="0"/>
          <w:sz w:val="28"/>
          <w:szCs w:val="28"/>
        </w:rPr>
      </w:pPr>
      <w:r w:rsidRPr="00FC559E">
        <w:rPr>
          <w:rFonts w:ascii="宋体" w:hAnsi="宋体" w:cs="Courier"/>
          <w:b/>
          <w:kern w:val="0"/>
          <w:sz w:val="28"/>
          <w:szCs w:val="28"/>
        </w:rPr>
        <w:t>主要知识产权</w:t>
      </w:r>
      <w:r w:rsidRPr="00FC559E">
        <w:rPr>
          <w:rFonts w:ascii="宋体" w:hAnsi="宋体" w:cs="Courier" w:hint="eastAsia"/>
          <w:b/>
          <w:kern w:val="0"/>
          <w:sz w:val="28"/>
          <w:szCs w:val="28"/>
        </w:rPr>
        <w:t>证明</w:t>
      </w:r>
      <w:r w:rsidRPr="00FC559E">
        <w:rPr>
          <w:rFonts w:ascii="宋体" w:hAnsi="宋体" w:cs="Courier"/>
          <w:b/>
          <w:kern w:val="0"/>
          <w:sz w:val="28"/>
          <w:szCs w:val="28"/>
        </w:rPr>
        <w:t>目录</w:t>
      </w:r>
      <w:r w:rsidRPr="00FC559E">
        <w:rPr>
          <w:rFonts w:ascii="宋体" w:hAnsi="宋体" w:cs="Courier" w:hint="eastAsia"/>
          <w:b/>
          <w:kern w:val="0"/>
          <w:sz w:val="28"/>
          <w:szCs w:val="28"/>
        </w:rPr>
        <w:t>（</w:t>
      </w:r>
      <w:r w:rsidRPr="00FC559E">
        <w:rPr>
          <w:rFonts w:ascii="宋体" w:hAnsi="宋体" w:cs="Courier"/>
          <w:b/>
          <w:kern w:val="0"/>
          <w:sz w:val="28"/>
          <w:szCs w:val="28"/>
        </w:rPr>
        <w:t>限</w:t>
      </w:r>
      <w:r w:rsidRPr="00FC559E">
        <w:rPr>
          <w:rFonts w:ascii="宋体" w:hAnsi="宋体" w:cs="Courier" w:hint="eastAsia"/>
          <w:b/>
          <w:kern w:val="0"/>
          <w:sz w:val="28"/>
          <w:szCs w:val="28"/>
        </w:rPr>
        <w:t>10条）</w:t>
      </w:r>
    </w:p>
    <w:tbl>
      <w:tblPr>
        <w:tblW w:w="14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10"/>
        <w:gridCol w:w="2410"/>
        <w:gridCol w:w="1134"/>
        <w:gridCol w:w="2000"/>
        <w:gridCol w:w="1118"/>
        <w:gridCol w:w="1292"/>
        <w:gridCol w:w="1543"/>
        <w:gridCol w:w="2001"/>
        <w:gridCol w:w="1134"/>
      </w:tblGrid>
      <w:tr w:rsidR="00E133F7" w:rsidRPr="00FC559E" w:rsidTr="00495906">
        <w:trPr>
          <w:trHeight w:val="567"/>
          <w:jc w:val="center"/>
        </w:trPr>
        <w:tc>
          <w:tcPr>
            <w:tcW w:w="1510"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知识产权类别</w:t>
            </w:r>
          </w:p>
        </w:tc>
        <w:tc>
          <w:tcPr>
            <w:tcW w:w="2410"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知识产权具体名称</w:t>
            </w:r>
          </w:p>
        </w:tc>
        <w:tc>
          <w:tcPr>
            <w:tcW w:w="1134"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国家</w:t>
            </w:r>
          </w:p>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（地区）</w:t>
            </w:r>
          </w:p>
        </w:tc>
        <w:tc>
          <w:tcPr>
            <w:tcW w:w="2000"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授权号</w:t>
            </w:r>
          </w:p>
        </w:tc>
        <w:tc>
          <w:tcPr>
            <w:tcW w:w="1118"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授权日期</w:t>
            </w:r>
          </w:p>
        </w:tc>
        <w:tc>
          <w:tcPr>
            <w:tcW w:w="1292"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证书编号</w:t>
            </w:r>
          </w:p>
        </w:tc>
        <w:tc>
          <w:tcPr>
            <w:tcW w:w="1543"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权利人</w:t>
            </w:r>
          </w:p>
        </w:tc>
        <w:tc>
          <w:tcPr>
            <w:tcW w:w="2001" w:type="dxa"/>
            <w:vAlign w:val="center"/>
          </w:tcPr>
          <w:p w:rsidR="00E133F7" w:rsidRPr="00FC559E" w:rsidRDefault="00E133F7" w:rsidP="00EF1E30">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发明人</w:t>
            </w:r>
          </w:p>
        </w:tc>
        <w:tc>
          <w:tcPr>
            <w:tcW w:w="1134" w:type="dxa"/>
          </w:tcPr>
          <w:p w:rsidR="00E133F7" w:rsidRPr="00FC559E" w:rsidRDefault="00E133F7" w:rsidP="00EF1E30">
            <w:pPr>
              <w:pStyle w:val="a7"/>
              <w:spacing w:line="240" w:lineRule="auto"/>
              <w:ind w:firstLineChars="0" w:firstLine="0"/>
              <w:jc w:val="center"/>
              <w:rPr>
                <w:rFonts w:ascii="华文仿宋" w:eastAsia="华文仿宋" w:hAnsi="华文仿宋"/>
                <w:color w:val="000000"/>
                <w:sz w:val="21"/>
                <w:szCs w:val="21"/>
              </w:rPr>
            </w:pPr>
            <w:r w:rsidRPr="00FC559E">
              <w:rPr>
                <w:rFonts w:ascii="华文仿宋" w:eastAsia="华文仿宋" w:hAnsi="华文仿宋"/>
                <w:color w:val="000000"/>
                <w:sz w:val="21"/>
                <w:szCs w:val="21"/>
              </w:rPr>
              <w:t>专利有效状态</w:t>
            </w:r>
          </w:p>
        </w:tc>
      </w:tr>
      <w:tr w:rsidR="00E133F7" w:rsidRPr="00FC559E" w:rsidTr="00495906">
        <w:trPr>
          <w:trHeight w:val="567"/>
          <w:jc w:val="center"/>
        </w:trPr>
        <w:tc>
          <w:tcPr>
            <w:tcW w:w="151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实用新型</w:t>
            </w:r>
          </w:p>
        </w:tc>
        <w:tc>
          <w:tcPr>
            <w:tcW w:w="241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bookmarkStart w:id="44" w:name="OLE_LINK52"/>
            <w:bookmarkStart w:id="45" w:name="OLE_LINK51"/>
            <w:r w:rsidRPr="00FC559E">
              <w:rPr>
                <w:rFonts w:ascii="华文仿宋" w:eastAsia="华文仿宋" w:hAnsi="华文仿宋"/>
                <w:sz w:val="21"/>
                <w:szCs w:val="21"/>
              </w:rPr>
              <w:t>一种水槽升降式豆芽机</w:t>
            </w:r>
            <w:bookmarkEnd w:id="44"/>
            <w:bookmarkEnd w:id="45"/>
          </w:p>
        </w:tc>
        <w:tc>
          <w:tcPr>
            <w:tcW w:w="1134" w:type="dxa"/>
            <w:vAlign w:val="center"/>
          </w:tcPr>
          <w:p w:rsidR="00E133F7" w:rsidRPr="00FC559E" w:rsidRDefault="00E133F7" w:rsidP="00495906">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中国</w:t>
            </w:r>
          </w:p>
        </w:tc>
        <w:tc>
          <w:tcPr>
            <w:tcW w:w="200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ZL201621060915.2</w:t>
            </w:r>
          </w:p>
        </w:tc>
        <w:tc>
          <w:tcPr>
            <w:tcW w:w="1118"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2017.04.05</w:t>
            </w:r>
          </w:p>
        </w:tc>
        <w:tc>
          <w:tcPr>
            <w:tcW w:w="1292" w:type="dxa"/>
            <w:vAlign w:val="center"/>
          </w:tcPr>
          <w:p w:rsidR="00E133F7" w:rsidRPr="00FC559E" w:rsidRDefault="00E133F7" w:rsidP="00495906">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6045716</w:t>
            </w:r>
          </w:p>
        </w:tc>
        <w:tc>
          <w:tcPr>
            <w:tcW w:w="1543"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001"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杨兴斌，杨易，杨薇融，刘鑫</w:t>
            </w:r>
          </w:p>
        </w:tc>
        <w:tc>
          <w:tcPr>
            <w:tcW w:w="1134" w:type="dxa"/>
            <w:vAlign w:val="center"/>
          </w:tcPr>
          <w:p w:rsidR="00E133F7" w:rsidRPr="00FC559E" w:rsidRDefault="00E133F7" w:rsidP="00495906">
            <w:pPr>
              <w:pStyle w:val="a7"/>
              <w:spacing w:line="240" w:lineRule="auto"/>
              <w:ind w:firstLineChars="100" w:firstLine="210"/>
              <w:rPr>
                <w:rFonts w:ascii="华文仿宋" w:eastAsia="华文仿宋" w:hAnsi="华文仿宋"/>
                <w:kern w:val="0"/>
                <w:sz w:val="21"/>
                <w:szCs w:val="21"/>
              </w:rPr>
            </w:pPr>
            <w:r w:rsidRPr="00FC559E">
              <w:rPr>
                <w:rFonts w:ascii="华文仿宋" w:eastAsia="华文仿宋" w:hAnsi="华文仿宋"/>
                <w:kern w:val="0"/>
                <w:sz w:val="21"/>
                <w:szCs w:val="21"/>
              </w:rPr>
              <w:t>授权</w:t>
            </w:r>
          </w:p>
        </w:tc>
      </w:tr>
      <w:tr w:rsidR="00E133F7" w:rsidRPr="00495906" w:rsidTr="00495906">
        <w:trPr>
          <w:trHeight w:val="567"/>
          <w:jc w:val="center"/>
        </w:trPr>
        <w:tc>
          <w:tcPr>
            <w:tcW w:w="151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实用新型</w:t>
            </w:r>
          </w:p>
        </w:tc>
        <w:tc>
          <w:tcPr>
            <w:tcW w:w="241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bookmarkStart w:id="46" w:name="OLE_LINK55"/>
            <w:bookmarkStart w:id="47" w:name="OLE_LINK54"/>
            <w:bookmarkStart w:id="48" w:name="OLE_LINK53"/>
            <w:r w:rsidRPr="00FC559E">
              <w:rPr>
                <w:rFonts w:ascii="华文仿宋" w:eastAsia="华文仿宋" w:hAnsi="华文仿宋"/>
                <w:sz w:val="21"/>
                <w:szCs w:val="21"/>
              </w:rPr>
              <w:t>一种多层植物生长器</w:t>
            </w:r>
            <w:bookmarkEnd w:id="46"/>
            <w:bookmarkEnd w:id="47"/>
            <w:bookmarkEnd w:id="48"/>
          </w:p>
        </w:tc>
        <w:tc>
          <w:tcPr>
            <w:tcW w:w="1134" w:type="dxa"/>
            <w:vAlign w:val="center"/>
          </w:tcPr>
          <w:p w:rsidR="00E133F7" w:rsidRPr="00FC559E" w:rsidRDefault="00E133F7" w:rsidP="00495906">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中国</w:t>
            </w:r>
          </w:p>
        </w:tc>
        <w:tc>
          <w:tcPr>
            <w:tcW w:w="2000"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bookmarkStart w:id="49" w:name="OLE_LINK38"/>
            <w:bookmarkStart w:id="50" w:name="OLE_LINK39"/>
            <w:r w:rsidRPr="00FC559E">
              <w:rPr>
                <w:rFonts w:ascii="华文仿宋" w:eastAsia="华文仿宋" w:hAnsi="华文仿宋"/>
                <w:sz w:val="21"/>
                <w:szCs w:val="21"/>
              </w:rPr>
              <w:t>ZL20162106042 5.2</w:t>
            </w:r>
            <w:bookmarkEnd w:id="49"/>
            <w:bookmarkEnd w:id="50"/>
          </w:p>
        </w:tc>
        <w:tc>
          <w:tcPr>
            <w:tcW w:w="1118"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2017.05.17</w:t>
            </w:r>
          </w:p>
        </w:tc>
        <w:tc>
          <w:tcPr>
            <w:tcW w:w="1292" w:type="dxa"/>
            <w:vAlign w:val="center"/>
          </w:tcPr>
          <w:p w:rsidR="00E133F7" w:rsidRPr="00FC559E" w:rsidRDefault="00E133F7" w:rsidP="00495906">
            <w:pPr>
              <w:pStyle w:val="a7"/>
              <w:spacing w:line="240" w:lineRule="auto"/>
              <w:ind w:firstLineChars="0" w:firstLine="0"/>
              <w:jc w:val="center"/>
              <w:rPr>
                <w:rFonts w:ascii="华文仿宋" w:eastAsia="华文仿宋" w:hAnsi="华文仿宋"/>
                <w:sz w:val="21"/>
                <w:szCs w:val="21"/>
              </w:rPr>
            </w:pPr>
            <w:r w:rsidRPr="00FC559E">
              <w:rPr>
                <w:rFonts w:ascii="华文仿宋" w:eastAsia="华文仿宋" w:hAnsi="华文仿宋"/>
                <w:sz w:val="21"/>
                <w:szCs w:val="21"/>
              </w:rPr>
              <w:t>6142609</w:t>
            </w:r>
          </w:p>
        </w:tc>
        <w:tc>
          <w:tcPr>
            <w:tcW w:w="1543"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陕西师范大学</w:t>
            </w:r>
          </w:p>
        </w:tc>
        <w:tc>
          <w:tcPr>
            <w:tcW w:w="2001" w:type="dxa"/>
            <w:vAlign w:val="center"/>
          </w:tcPr>
          <w:p w:rsidR="00E133F7" w:rsidRPr="00FC559E" w:rsidRDefault="00E133F7" w:rsidP="00495906">
            <w:pPr>
              <w:pStyle w:val="a7"/>
              <w:spacing w:line="240" w:lineRule="auto"/>
              <w:ind w:firstLineChars="0" w:firstLine="0"/>
              <w:rPr>
                <w:rFonts w:ascii="华文仿宋" w:eastAsia="华文仿宋" w:hAnsi="华文仿宋"/>
                <w:sz w:val="21"/>
                <w:szCs w:val="21"/>
              </w:rPr>
            </w:pPr>
            <w:r w:rsidRPr="00FC559E">
              <w:rPr>
                <w:rFonts w:ascii="华文仿宋" w:eastAsia="华文仿宋" w:hAnsi="华文仿宋"/>
                <w:sz w:val="21"/>
                <w:szCs w:val="21"/>
              </w:rPr>
              <w:t>杨薇融，杨兴斌，杨易，刘鑫</w:t>
            </w:r>
          </w:p>
        </w:tc>
        <w:tc>
          <w:tcPr>
            <w:tcW w:w="1134" w:type="dxa"/>
            <w:vAlign w:val="center"/>
          </w:tcPr>
          <w:p w:rsidR="00E133F7" w:rsidRPr="00495906" w:rsidRDefault="00E133F7" w:rsidP="00495906">
            <w:pPr>
              <w:pStyle w:val="a7"/>
              <w:spacing w:line="240" w:lineRule="auto"/>
              <w:ind w:firstLineChars="100" w:firstLine="210"/>
              <w:rPr>
                <w:rFonts w:ascii="华文仿宋" w:eastAsia="华文仿宋" w:hAnsi="华文仿宋"/>
                <w:sz w:val="21"/>
                <w:szCs w:val="21"/>
              </w:rPr>
            </w:pPr>
            <w:r w:rsidRPr="00FC559E">
              <w:rPr>
                <w:rFonts w:ascii="华文仿宋" w:eastAsia="华文仿宋" w:hAnsi="华文仿宋"/>
                <w:sz w:val="21"/>
                <w:szCs w:val="21"/>
              </w:rPr>
              <w:t>授权</w:t>
            </w:r>
          </w:p>
        </w:tc>
      </w:tr>
      <w:tr w:rsidR="00E133F7" w:rsidRPr="00495906" w:rsidTr="00495906">
        <w:trPr>
          <w:trHeight w:val="567"/>
          <w:jc w:val="center"/>
        </w:trPr>
        <w:tc>
          <w:tcPr>
            <w:tcW w:w="1510"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410" w:type="dxa"/>
          </w:tcPr>
          <w:p w:rsidR="00E133F7" w:rsidRPr="00495906" w:rsidRDefault="00E133F7" w:rsidP="00EF1E30">
            <w:pPr>
              <w:pStyle w:val="a7"/>
              <w:spacing w:line="240" w:lineRule="auto"/>
              <w:ind w:firstLineChars="0" w:firstLine="0"/>
              <w:jc w:val="center"/>
              <w:rPr>
                <w:rFonts w:ascii="华文仿宋" w:eastAsia="华文仿宋" w:hAnsi="华文仿宋"/>
                <w:sz w:val="21"/>
                <w:szCs w:val="21"/>
              </w:rPr>
            </w:pPr>
          </w:p>
        </w:tc>
        <w:tc>
          <w:tcPr>
            <w:tcW w:w="1134"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000"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118"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292"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543"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001"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134"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r>
      <w:tr w:rsidR="00E133F7" w:rsidRPr="00495906" w:rsidTr="00495906">
        <w:trPr>
          <w:trHeight w:val="567"/>
          <w:jc w:val="center"/>
        </w:trPr>
        <w:tc>
          <w:tcPr>
            <w:tcW w:w="1510"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410" w:type="dxa"/>
          </w:tcPr>
          <w:p w:rsidR="00E133F7" w:rsidRPr="00495906" w:rsidRDefault="00E133F7" w:rsidP="00EF1E30">
            <w:pPr>
              <w:pStyle w:val="a7"/>
              <w:spacing w:line="240" w:lineRule="auto"/>
              <w:ind w:firstLineChars="0" w:firstLine="0"/>
              <w:jc w:val="center"/>
              <w:rPr>
                <w:rFonts w:ascii="华文仿宋" w:eastAsia="华文仿宋" w:hAnsi="华文仿宋"/>
                <w:sz w:val="21"/>
                <w:szCs w:val="21"/>
              </w:rPr>
            </w:pPr>
          </w:p>
        </w:tc>
        <w:tc>
          <w:tcPr>
            <w:tcW w:w="1134"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000"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118"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292"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543"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2001"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c>
          <w:tcPr>
            <w:tcW w:w="1134" w:type="dxa"/>
          </w:tcPr>
          <w:p w:rsidR="00E133F7" w:rsidRPr="00495906" w:rsidRDefault="00E133F7" w:rsidP="00EF1E30">
            <w:pPr>
              <w:pStyle w:val="a7"/>
              <w:spacing w:line="240" w:lineRule="auto"/>
              <w:ind w:firstLineChars="0" w:firstLine="0"/>
              <w:jc w:val="left"/>
              <w:rPr>
                <w:rFonts w:ascii="华文仿宋" w:eastAsia="华文仿宋" w:hAnsi="华文仿宋"/>
                <w:sz w:val="21"/>
                <w:szCs w:val="21"/>
              </w:rPr>
            </w:pPr>
          </w:p>
        </w:tc>
      </w:tr>
    </w:tbl>
    <w:p w:rsidR="00E133F7" w:rsidRDefault="00E133F7" w:rsidP="00E133F7">
      <w:pPr>
        <w:pStyle w:val="a7"/>
        <w:adjustRightInd w:val="0"/>
        <w:spacing w:line="320" w:lineRule="exact"/>
        <w:ind w:firstLineChars="0" w:firstLine="0"/>
        <w:rPr>
          <w:rFonts w:ascii="宋体" w:hAnsi="宋体"/>
          <w:b/>
          <w:bCs/>
          <w:sz w:val="28"/>
          <w:szCs w:val="28"/>
        </w:rPr>
      </w:pPr>
    </w:p>
    <w:sectPr w:rsidR="00E133F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14D" w:rsidRDefault="00B8414D" w:rsidP="00743014">
      <w:r>
        <w:separator/>
      </w:r>
    </w:p>
  </w:endnote>
  <w:endnote w:type="continuationSeparator" w:id="0">
    <w:p w:rsidR="00B8414D" w:rsidRDefault="00B8414D" w:rsidP="0074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TimesNewRoman">
    <w:altName w:val="黑体"/>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14D" w:rsidRDefault="00B8414D" w:rsidP="00743014">
      <w:r>
        <w:separator/>
      </w:r>
    </w:p>
  </w:footnote>
  <w:footnote w:type="continuationSeparator" w:id="0">
    <w:p w:rsidR="00B8414D" w:rsidRDefault="00B8414D" w:rsidP="007430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0321B"/>
    <w:rsid w:val="00036E40"/>
    <w:rsid w:val="000642BF"/>
    <w:rsid w:val="0006447C"/>
    <w:rsid w:val="00096047"/>
    <w:rsid w:val="000A25AF"/>
    <w:rsid w:val="000D4E65"/>
    <w:rsid w:val="00110D34"/>
    <w:rsid w:val="00120879"/>
    <w:rsid w:val="00126304"/>
    <w:rsid w:val="001273D1"/>
    <w:rsid w:val="00136369"/>
    <w:rsid w:val="001938A0"/>
    <w:rsid w:val="001A02EC"/>
    <w:rsid w:val="001A3C44"/>
    <w:rsid w:val="001C2F80"/>
    <w:rsid w:val="001D1B79"/>
    <w:rsid w:val="001D3769"/>
    <w:rsid w:val="00200ABF"/>
    <w:rsid w:val="00205F09"/>
    <w:rsid w:val="002135CA"/>
    <w:rsid w:val="00232F22"/>
    <w:rsid w:val="00264021"/>
    <w:rsid w:val="00280E72"/>
    <w:rsid w:val="002A5DF4"/>
    <w:rsid w:val="002C5E3F"/>
    <w:rsid w:val="002D4DF5"/>
    <w:rsid w:val="002E0D21"/>
    <w:rsid w:val="002E2291"/>
    <w:rsid w:val="002F44A1"/>
    <w:rsid w:val="00301B88"/>
    <w:rsid w:val="0031050C"/>
    <w:rsid w:val="00310D33"/>
    <w:rsid w:val="003408DC"/>
    <w:rsid w:val="003753A3"/>
    <w:rsid w:val="003936EC"/>
    <w:rsid w:val="0039635E"/>
    <w:rsid w:val="003A12A0"/>
    <w:rsid w:val="003B142E"/>
    <w:rsid w:val="003E45CA"/>
    <w:rsid w:val="003F6AE2"/>
    <w:rsid w:val="003F7BAA"/>
    <w:rsid w:val="004124AE"/>
    <w:rsid w:val="00417A59"/>
    <w:rsid w:val="004678C1"/>
    <w:rsid w:val="0047609F"/>
    <w:rsid w:val="00486D2F"/>
    <w:rsid w:val="00492320"/>
    <w:rsid w:val="00495906"/>
    <w:rsid w:val="004A04A3"/>
    <w:rsid w:val="004A4101"/>
    <w:rsid w:val="004E1BE5"/>
    <w:rsid w:val="004F7263"/>
    <w:rsid w:val="00552C4C"/>
    <w:rsid w:val="005737A8"/>
    <w:rsid w:val="005743A1"/>
    <w:rsid w:val="005A0836"/>
    <w:rsid w:val="005A57EF"/>
    <w:rsid w:val="005B33E0"/>
    <w:rsid w:val="005B41C6"/>
    <w:rsid w:val="005C3B93"/>
    <w:rsid w:val="005E704A"/>
    <w:rsid w:val="00607F14"/>
    <w:rsid w:val="0061727A"/>
    <w:rsid w:val="00622B06"/>
    <w:rsid w:val="00642ED7"/>
    <w:rsid w:val="00647613"/>
    <w:rsid w:val="00662156"/>
    <w:rsid w:val="0067692D"/>
    <w:rsid w:val="006911CD"/>
    <w:rsid w:val="006D5E86"/>
    <w:rsid w:val="006F06CF"/>
    <w:rsid w:val="006F2928"/>
    <w:rsid w:val="007214C1"/>
    <w:rsid w:val="00743014"/>
    <w:rsid w:val="00753B92"/>
    <w:rsid w:val="0077082C"/>
    <w:rsid w:val="00780368"/>
    <w:rsid w:val="007C2DBA"/>
    <w:rsid w:val="007C7004"/>
    <w:rsid w:val="007D2721"/>
    <w:rsid w:val="007E5936"/>
    <w:rsid w:val="0082156A"/>
    <w:rsid w:val="008309E0"/>
    <w:rsid w:val="00852494"/>
    <w:rsid w:val="00877871"/>
    <w:rsid w:val="00892126"/>
    <w:rsid w:val="008950F1"/>
    <w:rsid w:val="008A2DB0"/>
    <w:rsid w:val="008E2531"/>
    <w:rsid w:val="00927EA0"/>
    <w:rsid w:val="0094635B"/>
    <w:rsid w:val="009569E9"/>
    <w:rsid w:val="009B4C22"/>
    <w:rsid w:val="009C1530"/>
    <w:rsid w:val="009D1013"/>
    <w:rsid w:val="00A147C3"/>
    <w:rsid w:val="00A24F3F"/>
    <w:rsid w:val="00A4766D"/>
    <w:rsid w:val="00A53256"/>
    <w:rsid w:val="00A56053"/>
    <w:rsid w:val="00A64AAE"/>
    <w:rsid w:val="00A9170F"/>
    <w:rsid w:val="00AA75D8"/>
    <w:rsid w:val="00AB63EF"/>
    <w:rsid w:val="00AC667E"/>
    <w:rsid w:val="00AD7942"/>
    <w:rsid w:val="00AE3D4A"/>
    <w:rsid w:val="00B0063F"/>
    <w:rsid w:val="00B16D16"/>
    <w:rsid w:val="00B361E3"/>
    <w:rsid w:val="00B3635A"/>
    <w:rsid w:val="00B43A5A"/>
    <w:rsid w:val="00B60258"/>
    <w:rsid w:val="00B637B4"/>
    <w:rsid w:val="00B7691B"/>
    <w:rsid w:val="00B8414D"/>
    <w:rsid w:val="00B84A87"/>
    <w:rsid w:val="00BE4C64"/>
    <w:rsid w:val="00C10930"/>
    <w:rsid w:val="00C339F2"/>
    <w:rsid w:val="00C40BC7"/>
    <w:rsid w:val="00C4194C"/>
    <w:rsid w:val="00C958A8"/>
    <w:rsid w:val="00C9594C"/>
    <w:rsid w:val="00CA11BD"/>
    <w:rsid w:val="00CA51AE"/>
    <w:rsid w:val="00CC21F2"/>
    <w:rsid w:val="00CC4838"/>
    <w:rsid w:val="00CC52D5"/>
    <w:rsid w:val="00CF2C55"/>
    <w:rsid w:val="00D06274"/>
    <w:rsid w:val="00D1080B"/>
    <w:rsid w:val="00D219B1"/>
    <w:rsid w:val="00DC2A59"/>
    <w:rsid w:val="00DF41BA"/>
    <w:rsid w:val="00DF5562"/>
    <w:rsid w:val="00E03072"/>
    <w:rsid w:val="00E133F7"/>
    <w:rsid w:val="00E26EB0"/>
    <w:rsid w:val="00E435BF"/>
    <w:rsid w:val="00E613A6"/>
    <w:rsid w:val="00E82B90"/>
    <w:rsid w:val="00E8469F"/>
    <w:rsid w:val="00EE44DC"/>
    <w:rsid w:val="00EE67B5"/>
    <w:rsid w:val="00F01D73"/>
    <w:rsid w:val="00F05B7B"/>
    <w:rsid w:val="00F128EF"/>
    <w:rsid w:val="00F44163"/>
    <w:rsid w:val="00F45C7F"/>
    <w:rsid w:val="00F461BE"/>
    <w:rsid w:val="00F918AC"/>
    <w:rsid w:val="00FA284D"/>
    <w:rsid w:val="00FA49C0"/>
    <w:rsid w:val="00FC1648"/>
    <w:rsid w:val="00FC559E"/>
    <w:rsid w:val="00FD618F"/>
    <w:rsid w:val="00FE4383"/>
    <w:rsid w:val="01231DF8"/>
    <w:rsid w:val="0A5C5118"/>
    <w:rsid w:val="10286EBA"/>
    <w:rsid w:val="1DD43381"/>
    <w:rsid w:val="254902FF"/>
    <w:rsid w:val="305431CA"/>
    <w:rsid w:val="38EA0EFF"/>
    <w:rsid w:val="3B632B8A"/>
    <w:rsid w:val="3CA315B8"/>
    <w:rsid w:val="3E2A072D"/>
    <w:rsid w:val="42980ACB"/>
    <w:rsid w:val="47BA1D9A"/>
    <w:rsid w:val="55A64C88"/>
    <w:rsid w:val="5D645AE6"/>
    <w:rsid w:val="63C51ACB"/>
    <w:rsid w:val="67371C7D"/>
    <w:rsid w:val="6E19259F"/>
    <w:rsid w:val="70452FEC"/>
    <w:rsid w:val="7251519A"/>
    <w:rsid w:val="74C7149F"/>
    <w:rsid w:val="7DAE4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F76B0"/>
  <w15:docId w15:val="{5338D021-103F-4628-B806-221737E20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semiHidden/>
    <w:unhideWhenUsed/>
    <w:qFormat/>
    <w:pPr>
      <w:jc w:val="left"/>
    </w:pPr>
  </w:style>
  <w:style w:type="paragraph" w:styleId="a7">
    <w:name w:val="Plain Text"/>
    <w:basedOn w:val="a"/>
    <w:link w:val="a8"/>
    <w:pPr>
      <w:spacing w:line="360" w:lineRule="auto"/>
      <w:ind w:firstLineChars="200" w:firstLine="480"/>
    </w:pPr>
    <w:rPr>
      <w:rFonts w:ascii="仿宋_GB2312" w:eastAsia="宋体" w:hAnsi="Times New Roman" w:cs="Times New Roman"/>
      <w:sz w:val="24"/>
      <w:szCs w:val="24"/>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character" w:styleId="af">
    <w:name w:val="Emphasis"/>
    <w:basedOn w:val="a0"/>
    <w:uiPriority w:val="20"/>
    <w:qFormat/>
    <w:rPr>
      <w:i/>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8">
    <w:name w:val="纯文本 字符"/>
    <w:basedOn w:val="a0"/>
    <w:link w:val="a7"/>
    <w:rPr>
      <w:rFonts w:ascii="仿宋_GB2312" w:eastAsia="宋体" w:hAnsi="Times New Roman" w:cs="Times New Roman"/>
      <w:sz w:val="24"/>
      <w:szCs w:val="24"/>
    </w:rPr>
  </w:style>
  <w:style w:type="character" w:customStyle="1" w:styleId="redtxts4">
    <w:name w:val="red_txt_s4"/>
  </w:style>
  <w:style w:type="character" w:customStyle="1" w:styleId="aa">
    <w:name w:val="批注框文本 字符"/>
    <w:basedOn w:val="a0"/>
    <w:link w:val="a9"/>
    <w:uiPriority w:val="99"/>
    <w:semiHidden/>
    <w:rPr>
      <w:sz w:val="18"/>
      <w:szCs w:val="18"/>
    </w:r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ubs.rsc.org/en/content/articlelanding/2015/fo/c5fo00581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CE723-22DD-4AF8-B653-32630B097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10</Pages>
  <Words>998</Words>
  <Characters>5692</Characters>
  <Application>Microsoft Office Word</Application>
  <DocSecurity>0</DocSecurity>
  <Lines>47</Lines>
  <Paragraphs>13</Paragraphs>
  <ScaleCrop>false</ScaleCrop>
  <Company>中国石油大学</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56</cp:revision>
  <cp:lastPrinted>2017-12-14T06:46:00Z</cp:lastPrinted>
  <dcterms:created xsi:type="dcterms:W3CDTF">2018-10-25T02:44:00Z</dcterms:created>
  <dcterms:modified xsi:type="dcterms:W3CDTF">2018-11-06T07:25:00Z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