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D17" w:rsidRPr="00254EB3" w:rsidRDefault="00DE7D17" w:rsidP="00DE7D17">
      <w:pPr>
        <w:spacing w:line="360" w:lineRule="auto"/>
        <w:rPr>
          <w:rFonts w:ascii="Times New Roman" w:eastAsia="仿宋" w:hAnsi="Times New Roman" w:cs="Times New Roman"/>
          <w:b/>
          <w:color w:val="000000" w:themeColor="text1"/>
          <w:sz w:val="28"/>
          <w:szCs w:val="28"/>
        </w:rPr>
      </w:pPr>
      <w:r w:rsidRPr="00254EB3">
        <w:rPr>
          <w:rFonts w:ascii="Times New Roman" w:eastAsia="仿宋" w:hAnsi="Times New Roman" w:cs="Times New Roman"/>
          <w:b/>
          <w:color w:val="000000" w:themeColor="text1"/>
          <w:sz w:val="28"/>
          <w:szCs w:val="28"/>
        </w:rPr>
        <w:t>项目名称：</w:t>
      </w:r>
      <w:r w:rsidRPr="00254EB3">
        <w:rPr>
          <w:rFonts w:ascii="Times New Roman" w:eastAsia="仿宋" w:hAnsi="Times New Roman" w:cs="Times New Roman"/>
          <w:color w:val="000000" w:themeColor="text1"/>
          <w:sz w:val="28"/>
          <w:szCs w:val="28"/>
        </w:rPr>
        <w:t>DNA</w:t>
      </w:r>
      <w:r w:rsidRPr="00254EB3">
        <w:rPr>
          <w:rFonts w:ascii="Times New Roman" w:eastAsia="仿宋" w:hAnsi="Times New Roman" w:cs="Times New Roman"/>
          <w:color w:val="000000" w:themeColor="text1"/>
          <w:sz w:val="28"/>
          <w:szCs w:val="28"/>
        </w:rPr>
        <w:t>表观遗传修饰传感分析新方法的研究</w:t>
      </w:r>
    </w:p>
    <w:p w:rsidR="00DE7D17" w:rsidRPr="00C74BA5" w:rsidRDefault="00DE7D17" w:rsidP="00DE7D17">
      <w:pPr>
        <w:spacing w:line="360" w:lineRule="auto"/>
        <w:rPr>
          <w:rFonts w:ascii="Times New Roman" w:eastAsia="仿宋" w:hAnsi="Times New Roman" w:cs="Times New Roman"/>
          <w:b/>
          <w:sz w:val="28"/>
          <w:szCs w:val="28"/>
        </w:rPr>
      </w:pPr>
      <w:r w:rsidRPr="00DE7D17">
        <w:rPr>
          <w:rFonts w:ascii="Times New Roman" w:eastAsia="仿宋" w:hAnsi="Times New Roman" w:cs="Times New Roman"/>
          <w:b/>
          <w:sz w:val="28"/>
          <w:szCs w:val="28"/>
        </w:rPr>
        <w:t>完成单位：</w:t>
      </w:r>
      <w:r w:rsidRPr="00DE7D17">
        <w:rPr>
          <w:rFonts w:ascii="Times New Roman" w:eastAsia="仿宋" w:hAnsi="Times New Roman" w:cs="Times New Roman"/>
          <w:sz w:val="28"/>
          <w:szCs w:val="28"/>
        </w:rPr>
        <w:t>西北大学</w:t>
      </w:r>
      <w:r w:rsidRPr="00C74BA5">
        <w:rPr>
          <w:rFonts w:ascii="Times New Roman" w:eastAsia="仿宋" w:hAnsi="Times New Roman" w:cs="Times New Roman"/>
          <w:sz w:val="28"/>
          <w:szCs w:val="28"/>
        </w:rPr>
        <w:t>，陕西师范大学</w:t>
      </w:r>
    </w:p>
    <w:p w:rsidR="00DE7D17" w:rsidRPr="00DE7D17" w:rsidRDefault="00DE7D17" w:rsidP="00402D22">
      <w:pPr>
        <w:spacing w:line="360" w:lineRule="auto"/>
        <w:ind w:left="1124" w:hangingChars="400" w:hanging="1124"/>
        <w:rPr>
          <w:rFonts w:ascii="Times New Roman" w:eastAsia="仿宋" w:hAnsi="Times New Roman" w:cs="Times New Roman"/>
          <w:b/>
          <w:sz w:val="28"/>
          <w:szCs w:val="28"/>
        </w:rPr>
      </w:pPr>
      <w:r w:rsidRPr="00DE7D17">
        <w:rPr>
          <w:rFonts w:ascii="Times New Roman" w:eastAsia="仿宋" w:hAnsi="Times New Roman" w:cs="Times New Roman"/>
          <w:b/>
          <w:sz w:val="28"/>
          <w:szCs w:val="28"/>
        </w:rPr>
        <w:t>完成人：</w:t>
      </w:r>
      <w:r w:rsidRPr="00C74BA5">
        <w:rPr>
          <w:rFonts w:ascii="Times New Roman" w:eastAsia="仿宋" w:hAnsi="Times New Roman" w:cs="Times New Roman"/>
          <w:sz w:val="28"/>
          <w:szCs w:val="28"/>
        </w:rPr>
        <w:t>李延、漆红兰、马尚贤、孙会萍、罗小娥、高红芳、卫颖颖、张玉玲</w:t>
      </w:r>
    </w:p>
    <w:p w:rsidR="00DE7D17" w:rsidRPr="00DE7D17" w:rsidRDefault="00DE7D17" w:rsidP="00DE7D17">
      <w:pPr>
        <w:spacing w:line="360" w:lineRule="auto"/>
        <w:rPr>
          <w:rFonts w:ascii="仿宋" w:eastAsia="仿宋" w:hAnsi="仿宋" w:cs="Times New Roman"/>
          <w:b/>
          <w:sz w:val="28"/>
          <w:szCs w:val="28"/>
        </w:rPr>
      </w:pPr>
      <w:r w:rsidRPr="00DE7D17">
        <w:rPr>
          <w:rFonts w:ascii="仿宋" w:eastAsia="仿宋" w:hAnsi="仿宋" w:cs="Times New Roman" w:hint="eastAsia"/>
          <w:b/>
          <w:sz w:val="28"/>
          <w:szCs w:val="28"/>
        </w:rPr>
        <w:t>项目简介：</w:t>
      </w:r>
    </w:p>
    <w:p w:rsidR="00DE7D17" w:rsidRPr="00DE7D17" w:rsidRDefault="00DE7D17" w:rsidP="00A005B2">
      <w:pPr>
        <w:adjustRightInd w:val="0"/>
        <w:snapToGrid w:val="0"/>
        <w:spacing w:line="360" w:lineRule="auto"/>
        <w:ind w:rightChars="14" w:right="29" w:firstLineChars="200" w:firstLine="560"/>
        <w:rPr>
          <w:rFonts w:ascii="Times New Roman" w:eastAsia="仿宋" w:hAnsi="Times New Roman" w:cs="Times New Roman"/>
          <w:sz w:val="28"/>
          <w:szCs w:val="28"/>
        </w:rPr>
      </w:pPr>
      <w:r w:rsidRPr="00254EB3">
        <w:rPr>
          <w:rFonts w:ascii="Times New Roman" w:eastAsia="仿宋" w:hAnsi="Times New Roman" w:cs="Times New Roman"/>
          <w:color w:val="000000" w:themeColor="text1"/>
          <w:sz w:val="28"/>
          <w:szCs w:val="28"/>
        </w:rPr>
        <w:t>本研究项目属于分析化学和生命科学等多学科交叉领域的基础研究类项目。在两个国家自然科学基金项目（</w:t>
      </w:r>
      <w:r w:rsidRPr="00254EB3">
        <w:rPr>
          <w:rFonts w:ascii="Times New Roman" w:eastAsia="仿宋" w:hAnsi="Times New Roman" w:cs="Times New Roman"/>
          <w:color w:val="000000" w:themeColor="text1"/>
          <w:sz w:val="28"/>
          <w:szCs w:val="28"/>
        </w:rPr>
        <w:t>21375102</w:t>
      </w:r>
      <w:r w:rsidRPr="00254EB3">
        <w:rPr>
          <w:rFonts w:ascii="Times New Roman" w:eastAsia="仿宋" w:hAnsi="Times New Roman" w:cs="Times New Roman"/>
          <w:color w:val="000000" w:themeColor="text1"/>
          <w:sz w:val="28"/>
          <w:szCs w:val="28"/>
        </w:rPr>
        <w:t>和</w:t>
      </w:r>
      <w:r w:rsidRPr="00254EB3">
        <w:rPr>
          <w:rFonts w:ascii="Times New Roman" w:eastAsia="仿宋" w:hAnsi="Times New Roman" w:cs="Times New Roman"/>
          <w:color w:val="000000" w:themeColor="text1"/>
          <w:sz w:val="28"/>
          <w:szCs w:val="28"/>
        </w:rPr>
        <w:t>21005061</w:t>
      </w:r>
      <w:r w:rsidRPr="00254EB3">
        <w:rPr>
          <w:rFonts w:ascii="Times New Roman" w:eastAsia="仿宋" w:hAnsi="Times New Roman" w:cs="Times New Roman"/>
          <w:color w:val="000000" w:themeColor="text1"/>
          <w:sz w:val="28"/>
          <w:szCs w:val="28"/>
        </w:rPr>
        <w:t>）的资助下，以构建高灵敏度高选择性</w:t>
      </w:r>
      <w:r w:rsidR="00900FFB" w:rsidRPr="00254EB3">
        <w:rPr>
          <w:rFonts w:ascii="Times New Roman" w:eastAsia="仿宋" w:hAnsi="Times New Roman" w:cs="Times New Roman" w:hint="eastAsia"/>
          <w:color w:val="000000" w:themeColor="text1"/>
          <w:sz w:val="28"/>
          <w:szCs w:val="28"/>
        </w:rPr>
        <w:t>DNA</w:t>
      </w:r>
      <w:r w:rsidR="00900FFB" w:rsidRPr="00254EB3">
        <w:rPr>
          <w:rFonts w:ascii="Times New Roman" w:eastAsia="仿宋" w:hAnsi="Times New Roman" w:cs="Times New Roman" w:hint="eastAsia"/>
          <w:color w:val="000000" w:themeColor="text1"/>
          <w:sz w:val="28"/>
          <w:szCs w:val="28"/>
        </w:rPr>
        <w:t>表观遗传修饰</w:t>
      </w:r>
      <w:r w:rsidR="0029130C" w:rsidRPr="00254EB3">
        <w:rPr>
          <w:rFonts w:ascii="Times New Roman" w:eastAsia="仿宋" w:hAnsi="Times New Roman" w:cs="Times New Roman" w:hint="eastAsia"/>
          <w:color w:val="000000" w:themeColor="text1"/>
          <w:sz w:val="28"/>
          <w:szCs w:val="28"/>
        </w:rPr>
        <w:t>的</w:t>
      </w:r>
      <w:r w:rsidRPr="00254EB3">
        <w:rPr>
          <w:rFonts w:ascii="Times New Roman" w:eastAsia="仿宋" w:hAnsi="Times New Roman" w:cs="Times New Roman"/>
          <w:color w:val="000000" w:themeColor="text1"/>
          <w:sz w:val="28"/>
          <w:szCs w:val="28"/>
        </w:rPr>
        <w:t>电致化学发光生物传感</w:t>
      </w:r>
      <w:r w:rsidR="0029130C" w:rsidRPr="00254EB3">
        <w:rPr>
          <w:rFonts w:ascii="Times New Roman" w:eastAsia="仿宋" w:hAnsi="Times New Roman" w:cs="Times New Roman" w:hint="eastAsia"/>
          <w:color w:val="000000" w:themeColor="text1"/>
          <w:sz w:val="28"/>
          <w:szCs w:val="28"/>
        </w:rPr>
        <w:t>分析新方法</w:t>
      </w:r>
      <w:r w:rsidRPr="00254EB3">
        <w:rPr>
          <w:rFonts w:ascii="Times New Roman" w:eastAsia="仿宋" w:hAnsi="Times New Roman" w:cs="Times New Roman"/>
          <w:color w:val="000000" w:themeColor="text1"/>
          <w:sz w:val="28"/>
          <w:szCs w:val="28"/>
        </w:rPr>
        <w:t>为主线，</w:t>
      </w:r>
      <w:r w:rsidR="00FA0E50" w:rsidRPr="00254EB3">
        <w:rPr>
          <w:rFonts w:ascii="Times New Roman" w:eastAsia="仿宋" w:hAnsi="Times New Roman" w:cs="Times New Roman" w:hint="eastAsia"/>
          <w:color w:val="000000" w:themeColor="text1"/>
          <w:sz w:val="28"/>
          <w:szCs w:val="28"/>
        </w:rPr>
        <w:t>以</w:t>
      </w:r>
      <w:r w:rsidR="00FA0E50" w:rsidRPr="00254EB3">
        <w:rPr>
          <w:rFonts w:ascii="Times New Roman" w:eastAsia="仿宋" w:hAnsi="Times New Roman" w:cs="Times New Roman" w:hint="eastAsia"/>
          <w:color w:val="000000" w:themeColor="text1"/>
          <w:sz w:val="28"/>
          <w:szCs w:val="28"/>
        </w:rPr>
        <w:t>DNA</w:t>
      </w:r>
      <w:r w:rsidR="00FA0E50" w:rsidRPr="00254EB3">
        <w:rPr>
          <w:rFonts w:ascii="Times New Roman" w:eastAsia="仿宋" w:hAnsi="Times New Roman" w:cs="Times New Roman" w:hint="eastAsia"/>
          <w:color w:val="000000" w:themeColor="text1"/>
          <w:sz w:val="28"/>
          <w:szCs w:val="28"/>
        </w:rPr>
        <w:t>为分子识别</w:t>
      </w:r>
      <w:r w:rsidR="00515C8B" w:rsidRPr="00254EB3">
        <w:rPr>
          <w:rFonts w:ascii="Times New Roman" w:eastAsia="仿宋" w:hAnsi="Times New Roman" w:cs="Times New Roman" w:hint="eastAsia"/>
          <w:color w:val="000000" w:themeColor="text1"/>
          <w:sz w:val="28"/>
          <w:szCs w:val="28"/>
        </w:rPr>
        <w:t>物质，</w:t>
      </w:r>
      <w:r w:rsidRPr="00254EB3">
        <w:rPr>
          <w:rFonts w:ascii="Times New Roman" w:eastAsia="仿宋" w:hAnsi="Times New Roman" w:cs="Times New Roman"/>
          <w:color w:val="000000" w:themeColor="text1"/>
          <w:sz w:val="28"/>
          <w:szCs w:val="28"/>
        </w:rPr>
        <w:t>成功合成了多种新型电致化学发光生物探针，</w:t>
      </w:r>
      <w:r w:rsidR="00515C8B" w:rsidRPr="00254EB3">
        <w:rPr>
          <w:rFonts w:ascii="Times New Roman" w:eastAsia="仿宋" w:hAnsi="Times New Roman" w:cs="Times New Roman" w:hint="eastAsia"/>
          <w:color w:val="000000" w:themeColor="text1"/>
          <w:sz w:val="28"/>
          <w:szCs w:val="28"/>
        </w:rPr>
        <w:t>发展了多种电致化学发光</w:t>
      </w:r>
      <w:r w:rsidRPr="00254EB3">
        <w:rPr>
          <w:rFonts w:ascii="Times New Roman" w:eastAsia="仿宋" w:hAnsi="Times New Roman" w:cs="Times New Roman"/>
          <w:color w:val="000000" w:themeColor="text1"/>
          <w:sz w:val="28"/>
          <w:szCs w:val="28"/>
        </w:rPr>
        <w:t>纳米</w:t>
      </w:r>
      <w:r w:rsidR="00515C8B" w:rsidRPr="00254EB3">
        <w:rPr>
          <w:rFonts w:ascii="Times New Roman" w:eastAsia="仿宋" w:hAnsi="Times New Roman" w:cs="Times New Roman" w:hint="eastAsia"/>
          <w:color w:val="000000" w:themeColor="text1"/>
          <w:sz w:val="28"/>
          <w:szCs w:val="28"/>
        </w:rPr>
        <w:t>信号</w:t>
      </w:r>
      <w:r w:rsidR="00515C8B" w:rsidRPr="00254EB3">
        <w:rPr>
          <w:rFonts w:ascii="Times New Roman" w:eastAsia="仿宋" w:hAnsi="Times New Roman" w:cs="Times New Roman"/>
          <w:color w:val="000000" w:themeColor="text1"/>
          <w:sz w:val="28"/>
          <w:szCs w:val="28"/>
        </w:rPr>
        <w:t>放大</w:t>
      </w:r>
      <w:r w:rsidRPr="00254EB3">
        <w:rPr>
          <w:rFonts w:ascii="Times New Roman" w:eastAsia="仿宋" w:hAnsi="Times New Roman" w:cs="Times New Roman"/>
          <w:color w:val="000000" w:themeColor="text1"/>
          <w:sz w:val="28"/>
          <w:szCs w:val="28"/>
        </w:rPr>
        <w:t>（纳米金、二硫化钼和石墨烯等）和核酸信号放大</w:t>
      </w:r>
      <w:r w:rsidR="00515C8B" w:rsidRPr="00254EB3">
        <w:rPr>
          <w:rFonts w:ascii="Times New Roman" w:eastAsia="仿宋" w:hAnsi="Times New Roman" w:cs="Times New Roman" w:hint="eastAsia"/>
          <w:color w:val="000000" w:themeColor="text1"/>
          <w:sz w:val="28"/>
          <w:szCs w:val="28"/>
        </w:rPr>
        <w:t>策略</w:t>
      </w:r>
      <w:r w:rsidRPr="00254EB3">
        <w:rPr>
          <w:rFonts w:ascii="Times New Roman" w:eastAsia="仿宋" w:hAnsi="Times New Roman" w:cs="Times New Roman"/>
          <w:color w:val="000000" w:themeColor="text1"/>
          <w:sz w:val="28"/>
          <w:szCs w:val="28"/>
        </w:rPr>
        <w:t>；建立了测定</w:t>
      </w:r>
      <w:r w:rsidR="009F4075" w:rsidRPr="00254EB3">
        <w:rPr>
          <w:rFonts w:ascii="Times New Roman" w:eastAsia="仿宋" w:hAnsi="Times New Roman" w:cs="Times New Roman" w:hint="eastAsia"/>
          <w:color w:val="000000" w:themeColor="text1"/>
          <w:sz w:val="28"/>
          <w:szCs w:val="28"/>
        </w:rPr>
        <w:t>遗传性疾病、癌症相关的生物标志物（甲基化</w:t>
      </w:r>
      <w:r w:rsidR="009F4075" w:rsidRPr="00254EB3">
        <w:rPr>
          <w:rFonts w:ascii="Times New Roman" w:eastAsia="仿宋" w:hAnsi="Times New Roman" w:cs="Times New Roman" w:hint="eastAsia"/>
          <w:color w:val="000000" w:themeColor="text1"/>
          <w:sz w:val="28"/>
          <w:szCs w:val="28"/>
        </w:rPr>
        <w:t>D</w:t>
      </w:r>
      <w:r w:rsidR="009F4075" w:rsidRPr="00254EB3">
        <w:rPr>
          <w:rFonts w:ascii="Times New Roman" w:eastAsia="仿宋" w:hAnsi="Times New Roman" w:cs="Times New Roman"/>
          <w:color w:val="000000" w:themeColor="text1"/>
          <w:sz w:val="28"/>
          <w:szCs w:val="28"/>
        </w:rPr>
        <w:t>NA</w:t>
      </w:r>
      <w:r w:rsidR="009F4075" w:rsidRPr="00254EB3">
        <w:rPr>
          <w:rFonts w:ascii="Times New Roman" w:eastAsia="仿宋" w:hAnsi="Times New Roman" w:cs="Times New Roman" w:hint="eastAsia"/>
          <w:color w:val="000000" w:themeColor="text1"/>
          <w:sz w:val="28"/>
          <w:szCs w:val="28"/>
        </w:rPr>
        <w:t>序列、羟甲基化</w:t>
      </w:r>
      <w:r w:rsidR="009F4075" w:rsidRPr="00254EB3">
        <w:rPr>
          <w:rFonts w:ascii="Times New Roman" w:eastAsia="仿宋" w:hAnsi="Times New Roman" w:cs="Times New Roman" w:hint="eastAsia"/>
          <w:color w:val="000000" w:themeColor="text1"/>
          <w:sz w:val="28"/>
          <w:szCs w:val="28"/>
        </w:rPr>
        <w:t>DNA</w:t>
      </w:r>
      <w:r w:rsidR="009F4075" w:rsidRPr="00254EB3">
        <w:rPr>
          <w:rFonts w:ascii="Times New Roman" w:eastAsia="仿宋" w:hAnsi="Times New Roman" w:cs="Times New Roman" w:hint="eastAsia"/>
          <w:color w:val="000000" w:themeColor="text1"/>
          <w:sz w:val="28"/>
          <w:szCs w:val="28"/>
        </w:rPr>
        <w:t>序列、蛋白质和药物）</w:t>
      </w:r>
      <w:r w:rsidRPr="00254EB3">
        <w:rPr>
          <w:rFonts w:ascii="Times New Roman" w:eastAsia="仿宋" w:hAnsi="Times New Roman" w:cs="Times New Roman"/>
          <w:color w:val="000000" w:themeColor="text1"/>
          <w:sz w:val="28"/>
          <w:szCs w:val="28"/>
        </w:rPr>
        <w:t>等的高灵敏度高选择性电致化学发光</w:t>
      </w:r>
      <w:r w:rsidR="00515C8B" w:rsidRPr="00254EB3">
        <w:rPr>
          <w:rFonts w:ascii="Times New Roman" w:eastAsia="仿宋" w:hAnsi="Times New Roman" w:cs="Times New Roman" w:hint="eastAsia"/>
          <w:color w:val="000000" w:themeColor="text1"/>
          <w:sz w:val="28"/>
          <w:szCs w:val="28"/>
        </w:rPr>
        <w:t>传感</w:t>
      </w:r>
      <w:r w:rsidRPr="00254EB3">
        <w:rPr>
          <w:rFonts w:ascii="Times New Roman" w:eastAsia="仿宋" w:hAnsi="Times New Roman" w:cs="Times New Roman"/>
          <w:color w:val="000000" w:themeColor="text1"/>
          <w:sz w:val="28"/>
          <w:szCs w:val="28"/>
        </w:rPr>
        <w:t>分析新方法；</w:t>
      </w:r>
      <w:r w:rsidR="009F4075" w:rsidRPr="00254EB3">
        <w:rPr>
          <w:rFonts w:ascii="Times New Roman" w:eastAsia="仿宋" w:hAnsi="Times New Roman" w:cs="Times New Roman" w:hint="eastAsia"/>
          <w:color w:val="000000" w:themeColor="text1"/>
          <w:sz w:val="28"/>
          <w:szCs w:val="28"/>
        </w:rPr>
        <w:t>实现了</w:t>
      </w:r>
      <w:r w:rsidR="009F4075" w:rsidRPr="00254EB3">
        <w:rPr>
          <w:rFonts w:ascii="Times New Roman" w:eastAsia="仿宋" w:hAnsi="Times New Roman" w:cs="Times New Roman" w:hint="eastAsia"/>
          <w:color w:val="000000" w:themeColor="text1"/>
          <w:sz w:val="28"/>
          <w:szCs w:val="28"/>
        </w:rPr>
        <w:t>DNA</w:t>
      </w:r>
      <w:r w:rsidR="009F4075" w:rsidRPr="00254EB3">
        <w:rPr>
          <w:rFonts w:ascii="Times New Roman" w:eastAsia="仿宋" w:hAnsi="Times New Roman" w:cs="Times New Roman" w:hint="eastAsia"/>
          <w:color w:val="000000" w:themeColor="text1"/>
          <w:sz w:val="28"/>
          <w:szCs w:val="28"/>
        </w:rPr>
        <w:t>表观遗传修饰的电致化学发光高效、特异和动态检测。该成果</w:t>
      </w:r>
      <w:r w:rsidR="00515C8B" w:rsidRPr="00254EB3">
        <w:rPr>
          <w:rFonts w:ascii="Times New Roman" w:eastAsia="仿宋" w:hAnsi="Times New Roman" w:cs="Times New Roman"/>
          <w:color w:val="000000" w:themeColor="text1"/>
          <w:sz w:val="28"/>
          <w:szCs w:val="28"/>
        </w:rPr>
        <w:t>在传感器的设计和构建、传感机理和应用研究等方面开展</w:t>
      </w:r>
      <w:r w:rsidR="00515C8B" w:rsidRPr="00254EB3">
        <w:rPr>
          <w:rFonts w:ascii="Times New Roman" w:eastAsia="仿宋" w:hAnsi="Times New Roman" w:cs="Times New Roman" w:hint="eastAsia"/>
          <w:color w:val="000000" w:themeColor="text1"/>
          <w:sz w:val="28"/>
          <w:szCs w:val="28"/>
        </w:rPr>
        <w:t>系统地</w:t>
      </w:r>
      <w:r w:rsidR="00515C8B" w:rsidRPr="00254EB3">
        <w:rPr>
          <w:rFonts w:ascii="Times New Roman" w:eastAsia="仿宋" w:hAnsi="Times New Roman" w:cs="Times New Roman"/>
          <w:color w:val="000000" w:themeColor="text1"/>
          <w:sz w:val="28"/>
          <w:szCs w:val="28"/>
        </w:rPr>
        <w:t>研究工作，</w:t>
      </w:r>
      <w:r w:rsidR="00787C55" w:rsidRPr="00254EB3">
        <w:rPr>
          <w:rFonts w:ascii="Times New Roman" w:eastAsia="仿宋" w:hAnsi="Times New Roman" w:cs="Times New Roman" w:hint="eastAsia"/>
          <w:color w:val="000000" w:themeColor="text1"/>
          <w:sz w:val="28"/>
          <w:szCs w:val="28"/>
        </w:rPr>
        <w:t>解决了电致化学发光</w:t>
      </w:r>
      <w:r w:rsidR="00787C55" w:rsidRPr="00787C55">
        <w:rPr>
          <w:rFonts w:ascii="Times New Roman" w:eastAsia="仿宋" w:hAnsi="Times New Roman" w:cs="Times New Roman" w:hint="eastAsia"/>
          <w:sz w:val="28"/>
          <w:szCs w:val="28"/>
        </w:rPr>
        <w:t>生物传感方法中存在的灵敏度低</w:t>
      </w:r>
      <w:r w:rsidR="00A005B2" w:rsidRPr="00787C55">
        <w:rPr>
          <w:rFonts w:ascii="Times New Roman" w:eastAsia="仿宋" w:hAnsi="Times New Roman" w:cs="Times New Roman" w:hint="eastAsia"/>
          <w:sz w:val="28"/>
          <w:szCs w:val="28"/>
        </w:rPr>
        <w:t>和</w:t>
      </w:r>
      <w:r w:rsidR="00787C55" w:rsidRPr="00787C55">
        <w:rPr>
          <w:rFonts w:ascii="Times New Roman" w:eastAsia="仿宋" w:hAnsi="Times New Roman" w:cs="Times New Roman" w:hint="eastAsia"/>
          <w:sz w:val="28"/>
          <w:szCs w:val="28"/>
        </w:rPr>
        <w:t>选择性差等方面的一些难题。</w:t>
      </w:r>
      <w:r w:rsidRPr="00DE7D17">
        <w:rPr>
          <w:rFonts w:ascii="Times New Roman" w:eastAsia="仿宋" w:hAnsi="Times New Roman" w:cs="Times New Roman"/>
          <w:sz w:val="28"/>
          <w:szCs w:val="28"/>
        </w:rPr>
        <w:t>该研究成果在发展</w:t>
      </w:r>
      <w:r w:rsidR="000F7834" w:rsidRPr="000F7834">
        <w:rPr>
          <w:rFonts w:ascii="Times New Roman" w:eastAsia="仿宋" w:hAnsi="Times New Roman" w:cs="Times New Roman" w:hint="eastAsia"/>
          <w:sz w:val="28"/>
          <w:szCs w:val="28"/>
        </w:rPr>
        <w:t>DNA</w:t>
      </w:r>
      <w:r w:rsidR="000F7834" w:rsidRPr="000F7834">
        <w:rPr>
          <w:rFonts w:ascii="Times New Roman" w:eastAsia="仿宋" w:hAnsi="Times New Roman" w:cs="Times New Roman" w:hint="eastAsia"/>
          <w:sz w:val="28"/>
          <w:szCs w:val="28"/>
        </w:rPr>
        <w:t>表观遗传修饰</w:t>
      </w:r>
      <w:r w:rsidRPr="00DE7D17">
        <w:rPr>
          <w:rFonts w:ascii="Times New Roman" w:eastAsia="仿宋" w:hAnsi="Times New Roman" w:cs="Times New Roman"/>
          <w:sz w:val="28"/>
          <w:szCs w:val="28"/>
        </w:rPr>
        <w:t>的精准标记、检测和鉴定等方面有多项原始性创新。该研究成果为认识生命体系调控的内在规律和重大疾病的诊断与防治提供了基础性的科学技术储备，为生物传感器、生物芯片的理论研究和应用研究，特别是为电致化学发光生物传感分析新方法的研究提供了新的研究思路和基础性研究资料，具有重要的科学意义和应用价值。</w:t>
      </w:r>
    </w:p>
    <w:p w:rsidR="00DE7D17" w:rsidRPr="00DE7D17" w:rsidRDefault="00DE7D17" w:rsidP="00DE7D17">
      <w:pPr>
        <w:adjustRightInd w:val="0"/>
        <w:snapToGrid w:val="0"/>
        <w:spacing w:line="360" w:lineRule="auto"/>
        <w:ind w:rightChars="14" w:right="29" w:firstLineChars="200" w:firstLine="560"/>
        <w:rPr>
          <w:rFonts w:ascii="仿宋" w:eastAsia="仿宋" w:hAnsi="仿宋" w:cs="Times New Roman"/>
          <w:sz w:val="28"/>
          <w:szCs w:val="28"/>
        </w:rPr>
      </w:pPr>
      <w:r w:rsidRPr="00DE7D17">
        <w:rPr>
          <w:rFonts w:ascii="Times New Roman" w:eastAsia="仿宋" w:hAnsi="Times New Roman" w:cs="Times New Roman"/>
          <w:sz w:val="28"/>
          <w:szCs w:val="28"/>
        </w:rPr>
        <w:t>该成果包括发明专利</w:t>
      </w:r>
      <w:r w:rsidRPr="00DE7D17">
        <w:rPr>
          <w:rFonts w:ascii="Times New Roman" w:eastAsia="仿宋" w:hAnsi="Times New Roman" w:cs="Times New Roman"/>
          <w:sz w:val="28"/>
          <w:szCs w:val="28"/>
        </w:rPr>
        <w:t xml:space="preserve">1 </w:t>
      </w:r>
      <w:r w:rsidRPr="00DE7D17">
        <w:rPr>
          <w:rFonts w:ascii="Times New Roman" w:eastAsia="仿宋" w:hAnsi="Times New Roman" w:cs="Times New Roman"/>
          <w:sz w:val="28"/>
          <w:szCs w:val="28"/>
        </w:rPr>
        <w:t>项，</w:t>
      </w:r>
      <w:r w:rsidR="0086511E">
        <w:rPr>
          <w:rFonts w:ascii="Times New Roman" w:eastAsia="仿宋" w:hAnsi="Times New Roman" w:cs="Times New Roman" w:hint="eastAsia"/>
          <w:sz w:val="28"/>
          <w:szCs w:val="28"/>
        </w:rPr>
        <w:t>高水平</w:t>
      </w:r>
      <w:r w:rsidRPr="00DE7D17">
        <w:rPr>
          <w:rFonts w:ascii="Times New Roman" w:eastAsia="仿宋" w:hAnsi="Times New Roman" w:cs="Times New Roman"/>
          <w:sz w:val="28"/>
          <w:szCs w:val="28"/>
        </w:rPr>
        <w:t>研究论文</w:t>
      </w:r>
      <w:r w:rsidRPr="00DE7D17">
        <w:rPr>
          <w:rFonts w:ascii="Times New Roman" w:eastAsia="仿宋" w:hAnsi="Times New Roman" w:cs="Times New Roman"/>
          <w:sz w:val="28"/>
          <w:szCs w:val="28"/>
        </w:rPr>
        <w:t>1</w:t>
      </w:r>
      <w:r w:rsidR="0086511E">
        <w:rPr>
          <w:rFonts w:ascii="Times New Roman" w:eastAsia="仿宋" w:hAnsi="Times New Roman" w:cs="Times New Roman" w:hint="eastAsia"/>
          <w:sz w:val="28"/>
          <w:szCs w:val="28"/>
        </w:rPr>
        <w:t>5</w:t>
      </w:r>
      <w:r w:rsidRPr="00DE7D17">
        <w:rPr>
          <w:rFonts w:ascii="Times New Roman" w:eastAsia="仿宋" w:hAnsi="Times New Roman" w:cs="Times New Roman"/>
          <w:sz w:val="28"/>
          <w:szCs w:val="28"/>
        </w:rPr>
        <w:t>篇，其中化学类</w:t>
      </w:r>
      <w:r w:rsidRPr="00DE7D17">
        <w:rPr>
          <w:rFonts w:ascii="Times New Roman" w:eastAsia="仿宋" w:hAnsi="Times New Roman" w:cs="Times New Roman"/>
          <w:sz w:val="28"/>
          <w:szCs w:val="28"/>
        </w:rPr>
        <w:t>SCI</w:t>
      </w:r>
      <w:r w:rsidRPr="00DE7D17">
        <w:rPr>
          <w:rFonts w:ascii="Times New Roman" w:eastAsia="仿宋" w:hAnsi="Times New Roman" w:cs="Times New Roman"/>
          <w:sz w:val="28"/>
          <w:szCs w:val="28"/>
        </w:rPr>
        <w:t>顶级（</w:t>
      </w:r>
      <w:r w:rsidRPr="00DE7D17">
        <w:rPr>
          <w:rFonts w:ascii="Times New Roman" w:eastAsia="仿宋" w:hAnsi="Times New Roman" w:cs="Times New Roman"/>
          <w:sz w:val="28"/>
          <w:szCs w:val="28"/>
        </w:rPr>
        <w:t>Top of Chemistry</w:t>
      </w:r>
      <w:r w:rsidRPr="00DE7D17">
        <w:rPr>
          <w:rFonts w:ascii="Times New Roman" w:eastAsia="仿宋" w:hAnsi="Times New Roman" w:cs="Times New Roman"/>
          <w:sz w:val="28"/>
          <w:szCs w:val="28"/>
        </w:rPr>
        <w:t>）期刊论文</w:t>
      </w:r>
      <w:r w:rsidRPr="00DE7D17">
        <w:rPr>
          <w:rFonts w:ascii="Times New Roman" w:eastAsia="仿宋" w:hAnsi="Times New Roman" w:cs="Times New Roman"/>
          <w:sz w:val="28"/>
          <w:szCs w:val="28"/>
        </w:rPr>
        <w:t xml:space="preserve">3 </w:t>
      </w:r>
      <w:r w:rsidRPr="00DE7D17">
        <w:rPr>
          <w:rFonts w:ascii="Times New Roman" w:eastAsia="仿宋" w:hAnsi="Times New Roman" w:cs="Times New Roman"/>
          <w:sz w:val="28"/>
          <w:szCs w:val="28"/>
        </w:rPr>
        <w:t>篇、工程类</w:t>
      </w:r>
      <w:r w:rsidRPr="00DE7D17">
        <w:rPr>
          <w:rFonts w:ascii="Times New Roman" w:eastAsia="仿宋" w:hAnsi="Times New Roman" w:cs="Times New Roman"/>
          <w:sz w:val="28"/>
          <w:szCs w:val="28"/>
        </w:rPr>
        <w:t>SCI</w:t>
      </w:r>
      <w:r w:rsidRPr="00DE7D17">
        <w:rPr>
          <w:rFonts w:ascii="Times New Roman" w:eastAsia="仿宋" w:hAnsi="Times New Roman" w:cs="Times New Roman"/>
          <w:sz w:val="28"/>
          <w:szCs w:val="28"/>
        </w:rPr>
        <w:t>顶级（</w:t>
      </w:r>
      <w:r w:rsidRPr="00DE7D17">
        <w:rPr>
          <w:rFonts w:ascii="Times New Roman" w:eastAsia="仿宋" w:hAnsi="Times New Roman" w:cs="Times New Roman"/>
          <w:sz w:val="28"/>
          <w:szCs w:val="28"/>
        </w:rPr>
        <w:t xml:space="preserve">Top </w:t>
      </w:r>
      <w:r w:rsidRPr="00DE7D17">
        <w:rPr>
          <w:rFonts w:ascii="Times New Roman" w:eastAsia="仿宋" w:hAnsi="Times New Roman" w:cs="Times New Roman"/>
          <w:sz w:val="28"/>
          <w:szCs w:val="28"/>
        </w:rPr>
        <w:lastRenderedPageBreak/>
        <w:t>of Engineering</w:t>
      </w:r>
      <w:r w:rsidRPr="00DE7D17">
        <w:rPr>
          <w:rFonts w:ascii="Times New Roman" w:eastAsia="仿宋" w:hAnsi="Times New Roman" w:cs="Times New Roman"/>
          <w:sz w:val="28"/>
          <w:szCs w:val="28"/>
        </w:rPr>
        <w:t>）期刊论文</w:t>
      </w:r>
      <w:r w:rsidRPr="00DE7D17">
        <w:rPr>
          <w:rFonts w:ascii="Times New Roman" w:eastAsia="仿宋" w:hAnsi="Times New Roman" w:cs="Times New Roman"/>
          <w:sz w:val="28"/>
          <w:szCs w:val="28"/>
        </w:rPr>
        <w:t xml:space="preserve">6 </w:t>
      </w:r>
      <w:r w:rsidRPr="00DE7D17">
        <w:rPr>
          <w:rFonts w:ascii="Times New Roman" w:eastAsia="仿宋" w:hAnsi="Times New Roman" w:cs="Times New Roman"/>
          <w:sz w:val="28"/>
          <w:szCs w:val="28"/>
        </w:rPr>
        <w:t>篇，包括</w:t>
      </w:r>
      <w:r w:rsidRPr="00DE7D17">
        <w:rPr>
          <w:rFonts w:ascii="Times New Roman" w:eastAsia="仿宋" w:hAnsi="Times New Roman" w:cs="Times New Roman"/>
          <w:sz w:val="28"/>
          <w:szCs w:val="28"/>
        </w:rPr>
        <w:t>Analytical Chemistry</w:t>
      </w:r>
      <w:r w:rsidRPr="00DE7D17">
        <w:rPr>
          <w:rFonts w:ascii="Times New Roman" w:eastAsia="仿宋" w:hAnsi="Times New Roman" w:cs="Times New Roman"/>
          <w:sz w:val="28"/>
          <w:szCs w:val="28"/>
        </w:rPr>
        <w:t>（一区、</w:t>
      </w:r>
      <w:r w:rsidRPr="00DE7D17">
        <w:rPr>
          <w:rFonts w:ascii="Times New Roman" w:eastAsia="仿宋" w:hAnsi="Times New Roman" w:cs="Times New Roman"/>
          <w:sz w:val="28"/>
          <w:szCs w:val="28"/>
        </w:rPr>
        <w:t>1</w:t>
      </w:r>
      <w:r w:rsidRPr="00DE7D17">
        <w:rPr>
          <w:rFonts w:ascii="Times New Roman" w:eastAsia="仿宋" w:hAnsi="Times New Roman" w:cs="Times New Roman"/>
          <w:sz w:val="28"/>
          <w:szCs w:val="28"/>
        </w:rPr>
        <w:t>篇）、</w:t>
      </w:r>
      <w:r w:rsidRPr="00DE7D17">
        <w:rPr>
          <w:rFonts w:ascii="Times New Roman" w:eastAsia="仿宋" w:hAnsi="Times New Roman" w:cs="Times New Roman"/>
          <w:sz w:val="28"/>
          <w:szCs w:val="28"/>
        </w:rPr>
        <w:t xml:space="preserve">Chemical Communications </w:t>
      </w:r>
      <w:r w:rsidRPr="00DE7D17">
        <w:rPr>
          <w:rFonts w:ascii="Times New Roman" w:eastAsia="仿宋" w:hAnsi="Times New Roman" w:cs="Times New Roman"/>
          <w:sz w:val="28"/>
          <w:szCs w:val="28"/>
        </w:rPr>
        <w:t>（一区、</w:t>
      </w:r>
      <w:r w:rsidRPr="00DE7D17">
        <w:rPr>
          <w:rFonts w:ascii="Times New Roman" w:eastAsia="仿宋" w:hAnsi="Times New Roman" w:cs="Times New Roman"/>
          <w:sz w:val="28"/>
          <w:szCs w:val="28"/>
        </w:rPr>
        <w:t>2</w:t>
      </w:r>
      <w:r w:rsidRPr="00DE7D17">
        <w:rPr>
          <w:rFonts w:ascii="Times New Roman" w:eastAsia="仿宋" w:hAnsi="Times New Roman" w:cs="Times New Roman"/>
          <w:sz w:val="28"/>
          <w:szCs w:val="28"/>
        </w:rPr>
        <w:t>篇）、</w:t>
      </w:r>
      <w:r w:rsidRPr="00DE7D17">
        <w:rPr>
          <w:rFonts w:ascii="Times New Roman" w:eastAsia="仿宋" w:hAnsi="Times New Roman" w:cs="Times New Roman"/>
          <w:sz w:val="28"/>
          <w:szCs w:val="28"/>
        </w:rPr>
        <w:t>Biosensors and Bioelectronics</w:t>
      </w:r>
      <w:r w:rsidRPr="00DE7D17">
        <w:rPr>
          <w:rFonts w:ascii="Times New Roman" w:eastAsia="仿宋" w:hAnsi="Times New Roman" w:cs="Times New Roman"/>
          <w:sz w:val="28"/>
          <w:szCs w:val="28"/>
        </w:rPr>
        <w:t>（一区、</w:t>
      </w:r>
      <w:r w:rsidRPr="00DE7D17">
        <w:rPr>
          <w:rFonts w:ascii="Times New Roman" w:eastAsia="仿宋" w:hAnsi="Times New Roman" w:cs="Times New Roman"/>
          <w:sz w:val="28"/>
          <w:szCs w:val="28"/>
        </w:rPr>
        <w:t>4</w:t>
      </w:r>
      <w:r w:rsidRPr="00DE7D17">
        <w:rPr>
          <w:rFonts w:ascii="Times New Roman" w:eastAsia="仿宋" w:hAnsi="Times New Roman" w:cs="Times New Roman"/>
          <w:sz w:val="28"/>
          <w:szCs w:val="28"/>
        </w:rPr>
        <w:t>篇）、</w:t>
      </w:r>
      <w:r w:rsidRPr="00DE7D17">
        <w:rPr>
          <w:rFonts w:ascii="Times New Roman" w:eastAsia="仿宋" w:hAnsi="Times New Roman" w:cs="Times New Roman"/>
          <w:sz w:val="28"/>
          <w:szCs w:val="28"/>
        </w:rPr>
        <w:t xml:space="preserve"> Sensors and Actuators B</w:t>
      </w:r>
      <w:r w:rsidRPr="00DE7D17">
        <w:rPr>
          <w:rFonts w:ascii="Times New Roman" w:eastAsia="仿宋" w:hAnsi="Times New Roman" w:cs="Times New Roman"/>
          <w:sz w:val="28"/>
          <w:szCs w:val="28"/>
        </w:rPr>
        <w:t>（一区、</w:t>
      </w:r>
      <w:r w:rsidRPr="00DE7D17">
        <w:rPr>
          <w:rFonts w:ascii="Times New Roman" w:eastAsia="仿宋" w:hAnsi="Times New Roman" w:cs="Times New Roman"/>
          <w:sz w:val="28"/>
          <w:szCs w:val="28"/>
        </w:rPr>
        <w:t>1</w:t>
      </w:r>
      <w:r w:rsidRPr="00DE7D17">
        <w:rPr>
          <w:rFonts w:ascii="Times New Roman" w:eastAsia="仿宋" w:hAnsi="Times New Roman" w:cs="Times New Roman"/>
          <w:sz w:val="28"/>
          <w:szCs w:val="28"/>
        </w:rPr>
        <w:t>篇）和</w:t>
      </w:r>
      <w:r w:rsidRPr="00DE7D17">
        <w:rPr>
          <w:rFonts w:ascii="Times New Roman" w:eastAsia="仿宋" w:hAnsi="Times New Roman" w:cs="Times New Roman"/>
          <w:sz w:val="28"/>
          <w:szCs w:val="28"/>
        </w:rPr>
        <w:t>Electrochimica Acta</w:t>
      </w:r>
      <w:r w:rsidRPr="00DE7D17">
        <w:rPr>
          <w:rFonts w:ascii="Times New Roman" w:eastAsia="仿宋" w:hAnsi="Times New Roman" w:cs="Times New Roman"/>
          <w:sz w:val="28"/>
          <w:szCs w:val="28"/>
        </w:rPr>
        <w:t>（一区、</w:t>
      </w:r>
      <w:r w:rsidRPr="00DE7D17">
        <w:rPr>
          <w:rFonts w:ascii="Times New Roman" w:eastAsia="仿宋" w:hAnsi="Times New Roman" w:cs="Times New Roman"/>
          <w:sz w:val="28"/>
          <w:szCs w:val="28"/>
        </w:rPr>
        <w:t>1</w:t>
      </w:r>
      <w:r w:rsidRPr="00DE7D17">
        <w:rPr>
          <w:rFonts w:ascii="Times New Roman" w:eastAsia="仿宋" w:hAnsi="Times New Roman" w:cs="Times New Roman"/>
          <w:sz w:val="28"/>
          <w:szCs w:val="28"/>
        </w:rPr>
        <w:t>篇）等分析化学极具国际影响力的</w:t>
      </w:r>
      <w:r w:rsidRPr="00DE7D17">
        <w:rPr>
          <w:rFonts w:ascii="Times New Roman" w:eastAsia="仿宋" w:hAnsi="Times New Roman" w:cs="Times New Roman"/>
          <w:sz w:val="28"/>
          <w:szCs w:val="28"/>
        </w:rPr>
        <w:t>SCI</w:t>
      </w:r>
      <w:r w:rsidRPr="00DE7D17">
        <w:rPr>
          <w:rFonts w:ascii="Times New Roman" w:eastAsia="仿宋" w:hAnsi="Times New Roman" w:cs="Times New Roman"/>
          <w:sz w:val="28"/>
          <w:szCs w:val="28"/>
        </w:rPr>
        <w:t>主流期刊。该成果论文发表后得到国内外同行专家的高度评价和广泛引用，截止</w:t>
      </w:r>
      <w:r w:rsidRPr="00DE7D17">
        <w:rPr>
          <w:rFonts w:ascii="Times New Roman" w:eastAsia="仿宋" w:hAnsi="Times New Roman" w:cs="Times New Roman"/>
          <w:sz w:val="28"/>
          <w:szCs w:val="28"/>
        </w:rPr>
        <w:t>2018</w:t>
      </w:r>
      <w:r w:rsidRPr="00DE7D17">
        <w:rPr>
          <w:rFonts w:ascii="Times New Roman" w:eastAsia="仿宋" w:hAnsi="Times New Roman" w:cs="Times New Roman"/>
          <w:sz w:val="28"/>
          <w:szCs w:val="28"/>
        </w:rPr>
        <w:t>年</w:t>
      </w:r>
      <w:r w:rsidRPr="00DE7D17">
        <w:rPr>
          <w:rFonts w:ascii="Times New Roman" w:eastAsia="仿宋" w:hAnsi="Times New Roman" w:cs="Times New Roman"/>
          <w:sz w:val="28"/>
          <w:szCs w:val="28"/>
        </w:rPr>
        <w:t>10</w:t>
      </w:r>
      <w:r w:rsidRPr="00DE7D17">
        <w:rPr>
          <w:rFonts w:ascii="Times New Roman" w:eastAsia="仿宋" w:hAnsi="Times New Roman" w:cs="Times New Roman"/>
          <w:sz w:val="28"/>
          <w:szCs w:val="28"/>
        </w:rPr>
        <w:t>月</w:t>
      </w:r>
      <w:r w:rsidRPr="00DE7D17">
        <w:rPr>
          <w:rFonts w:ascii="Times New Roman" w:eastAsia="仿宋" w:hAnsi="Times New Roman" w:cs="Times New Roman"/>
          <w:sz w:val="28"/>
          <w:szCs w:val="28"/>
        </w:rPr>
        <w:t>23</w:t>
      </w:r>
      <w:r w:rsidRPr="00DE7D17">
        <w:rPr>
          <w:rFonts w:ascii="Times New Roman" w:eastAsia="仿宋" w:hAnsi="Times New Roman" w:cs="Times New Roman"/>
          <w:sz w:val="28"/>
          <w:szCs w:val="28"/>
        </w:rPr>
        <w:t>日，在</w:t>
      </w:r>
      <w:r w:rsidRPr="00DE7D17">
        <w:rPr>
          <w:rFonts w:ascii="Times New Roman" w:eastAsia="仿宋" w:hAnsi="Times New Roman" w:cs="Times New Roman"/>
          <w:sz w:val="28"/>
          <w:szCs w:val="28"/>
        </w:rPr>
        <w:t>SCIE</w:t>
      </w:r>
      <w:r w:rsidRPr="00DE7D17">
        <w:rPr>
          <w:rFonts w:ascii="Times New Roman" w:eastAsia="仿宋" w:hAnsi="Times New Roman" w:cs="Times New Roman"/>
          <w:sz w:val="28"/>
          <w:szCs w:val="28"/>
        </w:rPr>
        <w:t>库上检索他人引用次数为</w:t>
      </w:r>
      <w:r w:rsidRPr="00DE7D17">
        <w:rPr>
          <w:rFonts w:ascii="Times New Roman" w:eastAsia="仿宋" w:hAnsi="Times New Roman" w:cs="Times New Roman"/>
          <w:sz w:val="28"/>
          <w:szCs w:val="28"/>
        </w:rPr>
        <w:t>146</w:t>
      </w:r>
      <w:r w:rsidRPr="00DE7D17">
        <w:rPr>
          <w:rFonts w:ascii="Times New Roman" w:eastAsia="仿宋" w:hAnsi="Times New Roman" w:cs="Times New Roman"/>
          <w:sz w:val="28"/>
          <w:szCs w:val="28"/>
        </w:rPr>
        <w:t>次，单篇论文记录的他人引用次数最多为</w:t>
      </w:r>
      <w:r w:rsidRPr="00DE7D17">
        <w:rPr>
          <w:rFonts w:ascii="Times New Roman" w:eastAsia="仿宋" w:hAnsi="Times New Roman" w:cs="Times New Roman"/>
          <w:sz w:val="28"/>
          <w:szCs w:val="28"/>
        </w:rPr>
        <w:t>43</w:t>
      </w:r>
      <w:r w:rsidRPr="00DE7D17">
        <w:rPr>
          <w:rFonts w:ascii="Times New Roman" w:eastAsia="仿宋" w:hAnsi="Times New Roman" w:cs="Times New Roman"/>
          <w:sz w:val="28"/>
          <w:szCs w:val="28"/>
        </w:rPr>
        <w:t>次；引用论文的国外学术刊物有：</w:t>
      </w:r>
      <w:r w:rsidRPr="00DE7D17">
        <w:rPr>
          <w:rFonts w:ascii="Times New Roman" w:eastAsia="仿宋" w:hAnsi="Times New Roman" w:cs="Times New Roman"/>
          <w:sz w:val="28"/>
          <w:szCs w:val="28"/>
        </w:rPr>
        <w:t>Chemical Society Reviews</w:t>
      </w:r>
      <w:r w:rsidRPr="00DE7D17">
        <w:rPr>
          <w:rFonts w:ascii="Times New Roman" w:eastAsia="仿宋" w:hAnsi="Times New Roman" w:cs="Times New Roman"/>
          <w:sz w:val="28"/>
          <w:szCs w:val="28"/>
        </w:rPr>
        <w:t>、</w:t>
      </w:r>
      <w:r w:rsidRPr="00DE7D17">
        <w:rPr>
          <w:rFonts w:ascii="Times New Roman" w:eastAsia="仿宋" w:hAnsi="Times New Roman" w:cs="Times New Roman"/>
          <w:sz w:val="28"/>
          <w:szCs w:val="28"/>
        </w:rPr>
        <w:t>Coordination Chemistry Reviews</w:t>
      </w:r>
      <w:r w:rsidRPr="00DE7D17">
        <w:rPr>
          <w:rFonts w:ascii="Times New Roman" w:eastAsia="仿宋" w:hAnsi="Times New Roman" w:cs="Times New Roman"/>
          <w:sz w:val="28"/>
          <w:szCs w:val="28"/>
        </w:rPr>
        <w:t>、</w:t>
      </w:r>
      <w:r w:rsidRPr="00DE7D17">
        <w:rPr>
          <w:rFonts w:ascii="Times New Roman" w:eastAsia="仿宋" w:hAnsi="Times New Roman" w:cs="Times New Roman"/>
          <w:sz w:val="28"/>
          <w:szCs w:val="28"/>
        </w:rPr>
        <w:t>Journal of the American Chemical Society</w:t>
      </w:r>
      <w:r w:rsidRPr="00DE7D17">
        <w:rPr>
          <w:rFonts w:ascii="Times New Roman" w:eastAsia="仿宋" w:hAnsi="Times New Roman" w:cs="Times New Roman"/>
          <w:sz w:val="28"/>
          <w:szCs w:val="28"/>
        </w:rPr>
        <w:t>、</w:t>
      </w:r>
      <w:r w:rsidRPr="00DE7D17">
        <w:rPr>
          <w:rFonts w:ascii="Times New Roman" w:eastAsia="仿宋" w:hAnsi="Times New Roman" w:cs="Times New Roman"/>
          <w:sz w:val="28"/>
          <w:szCs w:val="28"/>
        </w:rPr>
        <w:t>ACS Nano</w:t>
      </w:r>
      <w:r w:rsidRPr="00DE7D17">
        <w:rPr>
          <w:rFonts w:ascii="Times New Roman" w:eastAsia="仿宋" w:hAnsi="Times New Roman" w:cs="Times New Roman"/>
          <w:sz w:val="28"/>
          <w:szCs w:val="28"/>
        </w:rPr>
        <w:t>、</w:t>
      </w:r>
      <w:r w:rsidRPr="00DE7D17">
        <w:rPr>
          <w:rFonts w:ascii="Times New Roman" w:eastAsia="仿宋" w:hAnsi="Times New Roman" w:cs="Times New Roman"/>
          <w:sz w:val="28"/>
          <w:szCs w:val="28"/>
        </w:rPr>
        <w:t>TrAC-Trends in Analytical Chemistry</w:t>
      </w:r>
      <w:r w:rsidRPr="00DE7D17">
        <w:rPr>
          <w:rFonts w:ascii="Times New Roman" w:eastAsia="仿宋" w:hAnsi="Times New Roman" w:cs="Times New Roman"/>
          <w:sz w:val="28"/>
          <w:szCs w:val="28"/>
        </w:rPr>
        <w:t>、</w:t>
      </w:r>
      <w:r w:rsidRPr="00DE7D17">
        <w:rPr>
          <w:rFonts w:ascii="Times New Roman" w:eastAsia="仿宋" w:hAnsi="Times New Roman" w:cs="Times New Roman"/>
          <w:sz w:val="28"/>
          <w:szCs w:val="28"/>
        </w:rPr>
        <w:t>Analytical Chemistry</w:t>
      </w:r>
      <w:r w:rsidRPr="00DE7D17">
        <w:rPr>
          <w:rFonts w:ascii="Times New Roman" w:eastAsia="仿宋" w:hAnsi="Times New Roman" w:cs="Times New Roman"/>
          <w:sz w:val="28"/>
          <w:szCs w:val="28"/>
        </w:rPr>
        <w:t>、</w:t>
      </w:r>
      <w:r w:rsidRPr="00DE7D17">
        <w:rPr>
          <w:rFonts w:ascii="Times New Roman" w:eastAsia="仿宋" w:hAnsi="Times New Roman" w:cs="Times New Roman"/>
          <w:sz w:val="28"/>
          <w:szCs w:val="28"/>
        </w:rPr>
        <w:t>Chemical Communications</w:t>
      </w:r>
      <w:r w:rsidRPr="00DE7D17">
        <w:rPr>
          <w:rFonts w:ascii="Times New Roman" w:eastAsia="仿宋" w:hAnsi="Times New Roman" w:cs="Times New Roman"/>
          <w:sz w:val="28"/>
          <w:szCs w:val="28"/>
        </w:rPr>
        <w:t>、</w:t>
      </w:r>
      <w:r w:rsidRPr="00DE7D17">
        <w:rPr>
          <w:rFonts w:ascii="Times New Roman" w:eastAsia="仿宋" w:hAnsi="Times New Roman" w:cs="Times New Roman"/>
          <w:sz w:val="28"/>
          <w:szCs w:val="28"/>
        </w:rPr>
        <w:t>Biosensors and Bioelectronics</w:t>
      </w:r>
      <w:r w:rsidRPr="00DE7D17">
        <w:rPr>
          <w:rFonts w:ascii="Times New Roman" w:eastAsia="仿宋" w:hAnsi="Times New Roman" w:cs="Times New Roman"/>
          <w:sz w:val="28"/>
          <w:szCs w:val="28"/>
        </w:rPr>
        <w:t>、</w:t>
      </w:r>
      <w:r w:rsidRPr="00DE7D17">
        <w:rPr>
          <w:rFonts w:ascii="Times New Roman" w:eastAsia="仿宋" w:hAnsi="Times New Roman" w:cs="Times New Roman"/>
          <w:sz w:val="28"/>
          <w:szCs w:val="28"/>
        </w:rPr>
        <w:t>ACS Applied Materials &amp; Interfaces</w:t>
      </w:r>
      <w:r w:rsidRPr="00DE7D17">
        <w:rPr>
          <w:rFonts w:ascii="Times New Roman" w:eastAsia="仿宋" w:hAnsi="Times New Roman" w:cs="Times New Roman"/>
          <w:sz w:val="28"/>
          <w:szCs w:val="28"/>
        </w:rPr>
        <w:t>、</w:t>
      </w:r>
      <w:r w:rsidRPr="00DE7D17">
        <w:rPr>
          <w:rFonts w:ascii="Times New Roman" w:eastAsia="仿宋" w:hAnsi="Times New Roman" w:cs="Times New Roman"/>
          <w:sz w:val="28"/>
          <w:szCs w:val="28"/>
        </w:rPr>
        <w:t>Lab on A Chip</w:t>
      </w:r>
      <w:r w:rsidRPr="00DE7D17">
        <w:rPr>
          <w:rFonts w:ascii="Times New Roman" w:eastAsia="仿宋" w:hAnsi="Times New Roman" w:cs="Times New Roman"/>
          <w:sz w:val="28"/>
          <w:szCs w:val="28"/>
        </w:rPr>
        <w:t>、</w:t>
      </w:r>
      <w:r w:rsidRPr="00DE7D17">
        <w:rPr>
          <w:rFonts w:ascii="Times New Roman" w:eastAsia="仿宋" w:hAnsi="Times New Roman" w:cs="Times New Roman"/>
          <w:sz w:val="28"/>
          <w:szCs w:val="28"/>
        </w:rPr>
        <w:t>Advanced Materials Interfaces</w:t>
      </w:r>
      <w:r w:rsidRPr="00DE7D17">
        <w:rPr>
          <w:rFonts w:ascii="Times New Roman" w:eastAsia="仿宋" w:hAnsi="Times New Roman" w:cs="Times New Roman"/>
          <w:sz w:val="28"/>
          <w:szCs w:val="28"/>
        </w:rPr>
        <w:t>、</w:t>
      </w:r>
      <w:r w:rsidRPr="00DE7D17">
        <w:rPr>
          <w:rFonts w:ascii="Times New Roman" w:eastAsia="仿宋" w:hAnsi="Times New Roman" w:cs="Times New Roman"/>
          <w:sz w:val="28"/>
          <w:szCs w:val="28"/>
        </w:rPr>
        <w:t>Nanoscale</w:t>
      </w:r>
      <w:r w:rsidRPr="00DE7D17">
        <w:rPr>
          <w:rFonts w:ascii="Times New Roman" w:eastAsia="仿宋" w:hAnsi="Times New Roman" w:cs="Times New Roman"/>
          <w:sz w:val="28"/>
          <w:szCs w:val="28"/>
        </w:rPr>
        <w:t>、</w:t>
      </w:r>
      <w:bookmarkStart w:id="0" w:name="_GoBack"/>
      <w:bookmarkEnd w:id="0"/>
      <w:r w:rsidRPr="00DE7D17">
        <w:rPr>
          <w:rFonts w:ascii="Times New Roman" w:eastAsia="仿宋" w:hAnsi="Times New Roman" w:cs="Times New Roman"/>
          <w:sz w:val="28"/>
          <w:szCs w:val="28"/>
        </w:rPr>
        <w:t>Electrochimica Acta</w:t>
      </w:r>
      <w:r w:rsidRPr="00DE7D17">
        <w:rPr>
          <w:rFonts w:ascii="Times New Roman" w:eastAsia="仿宋" w:hAnsi="Times New Roman" w:cs="Times New Roman"/>
          <w:sz w:val="28"/>
          <w:szCs w:val="28"/>
        </w:rPr>
        <w:t>等</w:t>
      </w:r>
      <w:r w:rsidRPr="00DE7D17">
        <w:rPr>
          <w:rFonts w:ascii="Times New Roman" w:eastAsia="仿宋" w:hAnsi="Times New Roman" w:cs="Times New Roman"/>
          <w:sz w:val="28"/>
          <w:szCs w:val="28"/>
        </w:rPr>
        <w:t>30</w:t>
      </w:r>
      <w:r w:rsidRPr="00DE7D17">
        <w:rPr>
          <w:rFonts w:ascii="Times New Roman" w:eastAsia="仿宋" w:hAnsi="Times New Roman" w:cs="Times New Roman"/>
          <w:sz w:val="28"/>
          <w:szCs w:val="28"/>
        </w:rPr>
        <w:t>余种</w:t>
      </w:r>
      <w:r w:rsidRPr="00DE7D17">
        <w:rPr>
          <w:rFonts w:ascii="Times New Roman" w:eastAsia="仿宋" w:hAnsi="Times New Roman" w:cs="Times New Roman"/>
          <w:sz w:val="28"/>
          <w:szCs w:val="28"/>
        </w:rPr>
        <w:t>SCI</w:t>
      </w:r>
      <w:r w:rsidRPr="00DE7D17">
        <w:rPr>
          <w:rFonts w:ascii="Times New Roman" w:eastAsia="仿宋" w:hAnsi="Times New Roman" w:cs="Times New Roman"/>
          <w:sz w:val="28"/>
          <w:szCs w:val="28"/>
        </w:rPr>
        <w:t>源期刊。</w:t>
      </w:r>
    </w:p>
    <w:p w:rsidR="00DE7D17" w:rsidRDefault="00DE7D17" w:rsidP="00DE7D17">
      <w:pPr>
        <w:spacing w:line="360" w:lineRule="auto"/>
        <w:rPr>
          <w:rFonts w:ascii="仿宋" w:eastAsia="仿宋" w:hAnsi="仿宋" w:cs="Times New Roman"/>
          <w:b/>
          <w:sz w:val="28"/>
          <w:szCs w:val="28"/>
        </w:rPr>
      </w:pPr>
      <w:r w:rsidRPr="00DE7D17">
        <w:rPr>
          <w:rFonts w:ascii="仿宋" w:eastAsia="仿宋" w:hAnsi="仿宋" w:cs="Times New Roman" w:hint="eastAsia"/>
          <w:b/>
          <w:sz w:val="28"/>
          <w:szCs w:val="28"/>
        </w:rPr>
        <w:t>主要知识产权目录：</w:t>
      </w:r>
    </w:p>
    <w:tbl>
      <w:tblPr>
        <w:tblStyle w:val="a7"/>
        <w:tblW w:w="8242" w:type="dxa"/>
        <w:jc w:val="center"/>
        <w:tblLayout w:type="fixed"/>
        <w:tblLook w:val="04A0" w:firstRow="1" w:lastRow="0" w:firstColumn="1" w:lastColumn="0" w:noHBand="0" w:noVBand="1"/>
      </w:tblPr>
      <w:tblGrid>
        <w:gridCol w:w="959"/>
        <w:gridCol w:w="2126"/>
        <w:gridCol w:w="3261"/>
        <w:gridCol w:w="1896"/>
      </w:tblGrid>
      <w:tr w:rsidR="000B4ACB" w:rsidRPr="000B4ACB" w:rsidTr="00421A48">
        <w:trPr>
          <w:trHeight w:val="667"/>
          <w:jc w:val="center"/>
        </w:trPr>
        <w:tc>
          <w:tcPr>
            <w:tcW w:w="959" w:type="dxa"/>
            <w:vAlign w:val="center"/>
          </w:tcPr>
          <w:p w:rsidR="000B4ACB" w:rsidRPr="000B4ACB" w:rsidRDefault="000B4ACB" w:rsidP="000B4ACB">
            <w:pPr>
              <w:jc w:val="center"/>
              <w:rPr>
                <w:rFonts w:eastAsia="仿宋"/>
                <w:sz w:val="24"/>
                <w:szCs w:val="24"/>
              </w:rPr>
            </w:pPr>
            <w:r w:rsidRPr="000B4ACB">
              <w:rPr>
                <w:rFonts w:eastAsia="仿宋" w:hint="eastAsia"/>
                <w:sz w:val="24"/>
                <w:szCs w:val="24"/>
              </w:rPr>
              <w:t>国别</w:t>
            </w:r>
          </w:p>
        </w:tc>
        <w:tc>
          <w:tcPr>
            <w:tcW w:w="2126" w:type="dxa"/>
            <w:vAlign w:val="center"/>
          </w:tcPr>
          <w:p w:rsidR="000B4ACB" w:rsidRPr="000B4ACB" w:rsidRDefault="000B4ACB" w:rsidP="000B4ACB">
            <w:pPr>
              <w:jc w:val="center"/>
              <w:rPr>
                <w:rFonts w:eastAsia="仿宋"/>
                <w:sz w:val="24"/>
                <w:szCs w:val="24"/>
              </w:rPr>
            </w:pPr>
            <w:r w:rsidRPr="000B4ACB">
              <w:rPr>
                <w:rFonts w:eastAsia="仿宋" w:hint="eastAsia"/>
                <w:sz w:val="24"/>
                <w:szCs w:val="24"/>
              </w:rPr>
              <w:t>知识产权类别</w:t>
            </w:r>
          </w:p>
        </w:tc>
        <w:tc>
          <w:tcPr>
            <w:tcW w:w="3261" w:type="dxa"/>
            <w:vAlign w:val="center"/>
          </w:tcPr>
          <w:p w:rsidR="000B4ACB" w:rsidRPr="000B4ACB" w:rsidRDefault="000B4ACB" w:rsidP="000B4ACB">
            <w:pPr>
              <w:jc w:val="center"/>
              <w:rPr>
                <w:rFonts w:eastAsia="仿宋"/>
                <w:sz w:val="24"/>
                <w:szCs w:val="24"/>
              </w:rPr>
            </w:pPr>
            <w:r w:rsidRPr="000B4ACB">
              <w:rPr>
                <w:rFonts w:eastAsia="仿宋" w:hint="eastAsia"/>
                <w:sz w:val="24"/>
                <w:szCs w:val="24"/>
              </w:rPr>
              <w:t>专利名称</w:t>
            </w:r>
          </w:p>
        </w:tc>
        <w:tc>
          <w:tcPr>
            <w:tcW w:w="1896" w:type="dxa"/>
            <w:vAlign w:val="center"/>
          </w:tcPr>
          <w:p w:rsidR="000B4ACB" w:rsidRPr="000B4ACB" w:rsidRDefault="000B4ACB" w:rsidP="000B4ACB">
            <w:pPr>
              <w:jc w:val="center"/>
              <w:rPr>
                <w:rFonts w:eastAsia="仿宋"/>
                <w:sz w:val="24"/>
                <w:szCs w:val="24"/>
              </w:rPr>
            </w:pPr>
            <w:r w:rsidRPr="000B4ACB">
              <w:rPr>
                <w:rFonts w:eastAsia="仿宋" w:hint="eastAsia"/>
                <w:sz w:val="24"/>
                <w:szCs w:val="24"/>
              </w:rPr>
              <w:t>授权号</w:t>
            </w:r>
          </w:p>
          <w:p w:rsidR="000B4ACB" w:rsidRPr="000B4ACB" w:rsidRDefault="000B4ACB" w:rsidP="000B4ACB">
            <w:pPr>
              <w:jc w:val="center"/>
              <w:rPr>
                <w:rFonts w:eastAsia="仿宋"/>
                <w:sz w:val="24"/>
                <w:szCs w:val="24"/>
              </w:rPr>
            </w:pPr>
            <w:r w:rsidRPr="000B4ACB">
              <w:rPr>
                <w:rFonts w:eastAsia="仿宋" w:hint="eastAsia"/>
                <w:sz w:val="24"/>
                <w:szCs w:val="24"/>
              </w:rPr>
              <w:t>（批准号）</w:t>
            </w:r>
          </w:p>
        </w:tc>
      </w:tr>
      <w:tr w:rsidR="000B4ACB" w:rsidRPr="000B4ACB" w:rsidTr="00421A48">
        <w:trPr>
          <w:trHeight w:val="737"/>
          <w:jc w:val="center"/>
        </w:trPr>
        <w:tc>
          <w:tcPr>
            <w:tcW w:w="959" w:type="dxa"/>
            <w:vAlign w:val="center"/>
          </w:tcPr>
          <w:p w:rsidR="000B4ACB" w:rsidRPr="000B4ACB" w:rsidRDefault="000B4ACB" w:rsidP="000B4ACB">
            <w:pPr>
              <w:jc w:val="center"/>
              <w:rPr>
                <w:rFonts w:eastAsia="仿宋"/>
                <w:sz w:val="24"/>
                <w:szCs w:val="24"/>
              </w:rPr>
            </w:pPr>
            <w:r w:rsidRPr="000B4ACB">
              <w:rPr>
                <w:rFonts w:eastAsia="仿宋" w:hint="eastAsia"/>
                <w:sz w:val="24"/>
                <w:szCs w:val="24"/>
              </w:rPr>
              <w:t>中国</w:t>
            </w:r>
          </w:p>
        </w:tc>
        <w:tc>
          <w:tcPr>
            <w:tcW w:w="2126" w:type="dxa"/>
            <w:vAlign w:val="center"/>
          </w:tcPr>
          <w:p w:rsidR="000B4ACB" w:rsidRPr="000B4ACB" w:rsidRDefault="000B4ACB" w:rsidP="000B4ACB">
            <w:pPr>
              <w:jc w:val="center"/>
              <w:rPr>
                <w:rFonts w:eastAsia="仿宋"/>
                <w:sz w:val="24"/>
                <w:szCs w:val="24"/>
              </w:rPr>
            </w:pPr>
            <w:r w:rsidRPr="000B4ACB">
              <w:rPr>
                <w:rFonts w:eastAsia="仿宋" w:hint="eastAsia"/>
                <w:sz w:val="24"/>
                <w:szCs w:val="24"/>
              </w:rPr>
              <w:t>发明专利</w:t>
            </w:r>
          </w:p>
        </w:tc>
        <w:tc>
          <w:tcPr>
            <w:tcW w:w="3261" w:type="dxa"/>
            <w:vAlign w:val="center"/>
          </w:tcPr>
          <w:p w:rsidR="000B4ACB" w:rsidRPr="000B4ACB" w:rsidRDefault="00F3171C" w:rsidP="000B4ACB">
            <w:pPr>
              <w:jc w:val="center"/>
              <w:rPr>
                <w:rFonts w:eastAsia="仿宋"/>
                <w:sz w:val="24"/>
                <w:szCs w:val="24"/>
              </w:rPr>
            </w:pPr>
            <w:r w:rsidRPr="00F3171C">
              <w:rPr>
                <w:rFonts w:eastAsia="仿宋" w:hint="eastAsia"/>
                <w:sz w:val="24"/>
                <w:szCs w:val="24"/>
              </w:rPr>
              <w:t>以电化学发光生物传感器检测</w:t>
            </w:r>
            <w:r w:rsidRPr="00F3171C">
              <w:rPr>
                <w:rFonts w:eastAsia="仿宋" w:hint="eastAsia"/>
                <w:sz w:val="24"/>
                <w:szCs w:val="24"/>
              </w:rPr>
              <w:t>DNA</w:t>
            </w:r>
            <w:r w:rsidRPr="00F3171C">
              <w:rPr>
                <w:rFonts w:eastAsia="仿宋" w:hint="eastAsia"/>
                <w:sz w:val="24"/>
                <w:szCs w:val="24"/>
              </w:rPr>
              <w:t>甲基转移酶的方法及应用</w:t>
            </w:r>
          </w:p>
        </w:tc>
        <w:tc>
          <w:tcPr>
            <w:tcW w:w="1896" w:type="dxa"/>
            <w:vAlign w:val="center"/>
          </w:tcPr>
          <w:p w:rsidR="000B4ACB" w:rsidRPr="000B4ACB" w:rsidRDefault="00F3171C" w:rsidP="000B4ACB">
            <w:pPr>
              <w:jc w:val="center"/>
              <w:rPr>
                <w:rFonts w:eastAsia="仿宋"/>
                <w:sz w:val="24"/>
                <w:szCs w:val="24"/>
              </w:rPr>
            </w:pPr>
            <w:r w:rsidRPr="00F3171C">
              <w:rPr>
                <w:rFonts w:eastAsia="仿宋"/>
                <w:sz w:val="24"/>
                <w:szCs w:val="24"/>
              </w:rPr>
              <w:t>201410128514.5</w:t>
            </w:r>
          </w:p>
        </w:tc>
      </w:tr>
    </w:tbl>
    <w:p w:rsidR="000B4ACB" w:rsidRPr="00DE7D17" w:rsidRDefault="000B4ACB" w:rsidP="00DE7D17">
      <w:pPr>
        <w:spacing w:line="360" w:lineRule="auto"/>
        <w:rPr>
          <w:rFonts w:ascii="仿宋" w:eastAsia="仿宋" w:hAnsi="仿宋" w:cs="Times New Roman"/>
          <w:b/>
          <w:sz w:val="28"/>
          <w:szCs w:val="28"/>
        </w:rPr>
      </w:pPr>
    </w:p>
    <w:tbl>
      <w:tblPr>
        <w:tblW w:w="0" w:type="auto"/>
        <w:tblLook w:val="04A0" w:firstRow="1" w:lastRow="0" w:firstColumn="1" w:lastColumn="0" w:noHBand="0" w:noVBand="1"/>
      </w:tblPr>
      <w:tblGrid>
        <w:gridCol w:w="439"/>
        <w:gridCol w:w="3435"/>
        <w:gridCol w:w="1698"/>
        <w:gridCol w:w="1879"/>
        <w:gridCol w:w="1071"/>
      </w:tblGrid>
      <w:tr w:rsidR="00DE7D17" w:rsidRPr="00117B88" w:rsidTr="00C6743F">
        <w:trPr>
          <w:trHeight w:val="405"/>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color w:val="000000"/>
                <w:kern w:val="0"/>
                <w:szCs w:val="21"/>
              </w:rPr>
            </w:pPr>
            <w:r w:rsidRPr="00117B88">
              <w:rPr>
                <w:rFonts w:ascii="Times New Roman" w:eastAsia="仿宋" w:hAnsi="Times New Roman" w:cs="Times New Roman"/>
                <w:bCs/>
                <w:color w:val="000000"/>
                <w:kern w:val="0"/>
                <w:szCs w:val="21"/>
              </w:rPr>
              <w:t>序号</w:t>
            </w:r>
          </w:p>
        </w:tc>
        <w:tc>
          <w:tcPr>
            <w:tcW w:w="0" w:type="auto"/>
            <w:tcBorders>
              <w:top w:val="single" w:sz="4" w:space="0" w:color="auto"/>
              <w:left w:val="nil"/>
              <w:bottom w:val="single" w:sz="4" w:space="0" w:color="auto"/>
              <w:right w:val="single" w:sz="4" w:space="0" w:color="auto"/>
            </w:tcBorders>
            <w:vAlign w:val="center"/>
          </w:tcPr>
          <w:p w:rsidR="00DE7D17" w:rsidRPr="00117B88" w:rsidRDefault="00DE7D17" w:rsidP="00117B88">
            <w:pPr>
              <w:widowControl/>
              <w:adjustRightInd w:val="0"/>
              <w:snapToGrid w:val="0"/>
              <w:jc w:val="center"/>
              <w:rPr>
                <w:rFonts w:ascii="Times New Roman" w:eastAsia="仿宋" w:hAnsi="Times New Roman" w:cs="Times New Roman"/>
                <w:bCs/>
                <w:color w:val="000000"/>
                <w:kern w:val="0"/>
                <w:szCs w:val="21"/>
              </w:rPr>
            </w:pPr>
            <w:r w:rsidRPr="00117B88">
              <w:rPr>
                <w:rFonts w:ascii="Times New Roman" w:eastAsia="仿宋" w:hAnsi="Times New Roman" w:cs="Times New Roman"/>
                <w:bCs/>
                <w:color w:val="000000"/>
                <w:kern w:val="0"/>
                <w:szCs w:val="21"/>
              </w:rPr>
              <w:t>文章题目</w:t>
            </w:r>
          </w:p>
        </w:tc>
        <w:tc>
          <w:tcPr>
            <w:tcW w:w="0" w:type="auto"/>
            <w:tcBorders>
              <w:top w:val="single" w:sz="4" w:space="0" w:color="auto"/>
              <w:left w:val="nil"/>
              <w:bottom w:val="single" w:sz="4" w:space="0" w:color="auto"/>
              <w:right w:val="single" w:sz="4" w:space="0" w:color="auto"/>
            </w:tcBorders>
            <w:vAlign w:val="center"/>
          </w:tcPr>
          <w:p w:rsidR="00DE7D17" w:rsidRPr="00117B88" w:rsidRDefault="00DE7D17" w:rsidP="00117B88">
            <w:pPr>
              <w:widowControl/>
              <w:adjustRightInd w:val="0"/>
              <w:snapToGrid w:val="0"/>
              <w:jc w:val="center"/>
              <w:rPr>
                <w:rFonts w:ascii="Times New Roman" w:eastAsia="仿宋" w:hAnsi="Times New Roman" w:cs="Times New Roman"/>
                <w:bCs/>
                <w:color w:val="000000"/>
                <w:kern w:val="0"/>
                <w:szCs w:val="21"/>
              </w:rPr>
            </w:pPr>
            <w:r w:rsidRPr="00117B88">
              <w:rPr>
                <w:rFonts w:ascii="Times New Roman" w:eastAsia="仿宋" w:hAnsi="Times New Roman" w:cs="Times New Roman"/>
                <w:bCs/>
                <w:color w:val="000000"/>
                <w:kern w:val="0"/>
                <w:szCs w:val="21"/>
              </w:rPr>
              <w:t>作</w:t>
            </w:r>
            <w:r w:rsidRPr="00117B88">
              <w:rPr>
                <w:rFonts w:ascii="Times New Roman" w:eastAsia="仿宋" w:hAnsi="Times New Roman" w:cs="Times New Roman"/>
                <w:bCs/>
                <w:color w:val="000000"/>
                <w:kern w:val="0"/>
                <w:szCs w:val="21"/>
              </w:rPr>
              <w:t xml:space="preserve">  </w:t>
            </w:r>
            <w:r w:rsidRPr="00117B88">
              <w:rPr>
                <w:rFonts w:ascii="Times New Roman" w:eastAsia="仿宋" w:hAnsi="Times New Roman" w:cs="Times New Roman"/>
                <w:bCs/>
                <w:color w:val="000000"/>
                <w:kern w:val="0"/>
                <w:szCs w:val="21"/>
              </w:rPr>
              <w:t>者</w:t>
            </w:r>
          </w:p>
        </w:tc>
        <w:tc>
          <w:tcPr>
            <w:tcW w:w="1789" w:type="dxa"/>
            <w:tcBorders>
              <w:top w:val="single" w:sz="4" w:space="0" w:color="auto"/>
              <w:left w:val="nil"/>
              <w:bottom w:val="single" w:sz="4" w:space="0" w:color="auto"/>
              <w:right w:val="single" w:sz="4" w:space="0" w:color="auto"/>
            </w:tcBorders>
            <w:vAlign w:val="center"/>
          </w:tcPr>
          <w:p w:rsidR="00DE7D17" w:rsidRPr="00117B88" w:rsidRDefault="00DE7D17" w:rsidP="00117B88">
            <w:pPr>
              <w:widowControl/>
              <w:adjustRightInd w:val="0"/>
              <w:snapToGrid w:val="0"/>
              <w:jc w:val="center"/>
              <w:rPr>
                <w:rFonts w:ascii="Times New Roman" w:eastAsia="仿宋" w:hAnsi="Times New Roman" w:cs="Times New Roman"/>
                <w:bCs/>
                <w:color w:val="000000"/>
                <w:kern w:val="0"/>
                <w:szCs w:val="21"/>
              </w:rPr>
            </w:pPr>
            <w:r w:rsidRPr="00117B88">
              <w:rPr>
                <w:rFonts w:ascii="Times New Roman" w:eastAsia="仿宋" w:hAnsi="Times New Roman" w:cs="Times New Roman"/>
                <w:bCs/>
                <w:color w:val="000000"/>
                <w:kern w:val="0"/>
                <w:szCs w:val="21"/>
              </w:rPr>
              <w:t>来</w:t>
            </w:r>
            <w:r w:rsidRPr="00117B88">
              <w:rPr>
                <w:rFonts w:ascii="Times New Roman" w:eastAsia="仿宋" w:hAnsi="Times New Roman" w:cs="Times New Roman"/>
                <w:bCs/>
                <w:color w:val="000000"/>
                <w:kern w:val="0"/>
                <w:szCs w:val="21"/>
              </w:rPr>
              <w:t xml:space="preserve">  </w:t>
            </w:r>
            <w:r w:rsidRPr="00117B88">
              <w:rPr>
                <w:rFonts w:ascii="Times New Roman" w:eastAsia="仿宋" w:hAnsi="Times New Roman" w:cs="Times New Roman"/>
                <w:bCs/>
                <w:color w:val="000000"/>
                <w:kern w:val="0"/>
                <w:szCs w:val="21"/>
              </w:rPr>
              <w:t>源</w:t>
            </w:r>
          </w:p>
        </w:tc>
        <w:tc>
          <w:tcPr>
            <w:tcW w:w="1071" w:type="dxa"/>
            <w:tcBorders>
              <w:top w:val="single" w:sz="4" w:space="0" w:color="auto"/>
              <w:left w:val="nil"/>
              <w:bottom w:val="single" w:sz="4" w:space="0" w:color="auto"/>
              <w:right w:val="single" w:sz="4" w:space="0" w:color="auto"/>
            </w:tcBorders>
            <w:vAlign w:val="center"/>
          </w:tcPr>
          <w:p w:rsidR="00DE7D17" w:rsidRPr="00117B88" w:rsidRDefault="00DE7D17" w:rsidP="00117B88">
            <w:pPr>
              <w:widowControl/>
              <w:adjustRightInd w:val="0"/>
              <w:snapToGrid w:val="0"/>
              <w:jc w:val="center"/>
              <w:rPr>
                <w:rFonts w:ascii="Times New Roman" w:eastAsia="仿宋" w:hAnsi="Times New Roman" w:cs="Times New Roman"/>
                <w:bCs/>
                <w:color w:val="000000"/>
                <w:kern w:val="0"/>
                <w:szCs w:val="21"/>
              </w:rPr>
            </w:pPr>
            <w:r w:rsidRPr="00117B88">
              <w:rPr>
                <w:rFonts w:ascii="Times New Roman" w:eastAsia="仿宋" w:hAnsi="Times New Roman" w:cs="Times New Roman"/>
                <w:bCs/>
                <w:color w:val="000000"/>
                <w:kern w:val="0"/>
                <w:szCs w:val="21"/>
              </w:rPr>
              <w:t>备</w:t>
            </w:r>
            <w:r w:rsidRPr="00117B88">
              <w:rPr>
                <w:rFonts w:ascii="Times New Roman" w:eastAsia="仿宋" w:hAnsi="Times New Roman" w:cs="Times New Roman"/>
                <w:bCs/>
                <w:color w:val="000000"/>
                <w:kern w:val="0"/>
                <w:szCs w:val="21"/>
              </w:rPr>
              <w:t xml:space="preserve">  </w:t>
            </w:r>
            <w:r w:rsidRPr="00117B88">
              <w:rPr>
                <w:rFonts w:ascii="Times New Roman" w:eastAsia="仿宋" w:hAnsi="Times New Roman" w:cs="Times New Roman"/>
                <w:bCs/>
                <w:color w:val="000000"/>
                <w:kern w:val="0"/>
                <w:szCs w:val="21"/>
              </w:rPr>
              <w:t>注</w:t>
            </w:r>
          </w:p>
        </w:tc>
      </w:tr>
      <w:tr w:rsidR="00DE7D17" w:rsidRPr="00117B88" w:rsidTr="00C6743F">
        <w:trPr>
          <w:trHeight w:val="405"/>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1</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autoSpaceDE w:val="0"/>
              <w:autoSpaceDN w:val="0"/>
              <w:adjustRightInd w:val="0"/>
              <w:snapToGrid w:val="0"/>
              <w:jc w:val="left"/>
              <w:rPr>
                <w:rFonts w:ascii="Times New Roman" w:eastAsia="仿宋" w:hAnsi="Times New Roman" w:cs="Times New Roman"/>
                <w:kern w:val="0"/>
                <w:szCs w:val="21"/>
              </w:rPr>
            </w:pPr>
            <w:r w:rsidRPr="00117B88">
              <w:rPr>
                <w:rFonts w:ascii="Times New Roman" w:eastAsia="仿宋" w:hAnsi="Times New Roman" w:cs="Times New Roman"/>
                <w:kern w:val="0"/>
                <w:szCs w:val="21"/>
              </w:rPr>
              <w:t>Discrimination between 5-hydroxymethylcytosine and 5-methylcytosine in DNA via selective electrogenerated chemiluminescence (ECL) labeling</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Shangxian Ma, Huiping Sun, Yan Li, Honglan Qi, and Jianbin Zheng</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Analytical Chemistry, 2016, 88, 9934</w:t>
            </w:r>
            <w:r w:rsidRPr="00117B88">
              <w:rPr>
                <w:rFonts w:ascii="Times New Roman" w:eastAsia="微软雅黑" w:hAnsi="Times New Roman" w:cs="Times New Roman"/>
                <w:kern w:val="0"/>
                <w:szCs w:val="21"/>
              </w:rPr>
              <w:t>−</w:t>
            </w:r>
            <w:r w:rsidRPr="00117B88">
              <w:rPr>
                <w:rFonts w:ascii="Times New Roman" w:eastAsia="仿宋" w:hAnsi="Times New Roman" w:cs="Times New Roman"/>
                <w:kern w:val="0"/>
                <w:szCs w:val="21"/>
              </w:rPr>
              <w:t>9940</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一区</w:t>
            </w:r>
            <w:r w:rsidRPr="00117B88">
              <w:rPr>
                <w:rFonts w:ascii="Times New Roman" w:eastAsia="仿宋" w:hAnsi="Times New Roman" w:cs="Times New Roman"/>
                <w:szCs w:val="21"/>
              </w:rPr>
              <w:t>IF: 6.042</w:t>
            </w:r>
          </w:p>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xml:space="preserve">: 9 </w:t>
            </w:r>
          </w:p>
        </w:tc>
      </w:tr>
      <w:tr w:rsidR="00DE7D17" w:rsidRPr="00117B88" w:rsidTr="00C6743F">
        <w:trPr>
          <w:trHeight w:val="405"/>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2</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widowControl/>
              <w:adjustRightInd w:val="0"/>
              <w:snapToGrid w:val="0"/>
              <w:jc w:val="left"/>
              <w:rPr>
                <w:rFonts w:ascii="Times New Roman" w:eastAsia="仿宋" w:hAnsi="Times New Roman" w:cs="Times New Roman"/>
                <w:szCs w:val="21"/>
              </w:rPr>
            </w:pPr>
            <w:r w:rsidRPr="00117B88">
              <w:rPr>
                <w:rFonts w:ascii="Times New Roman" w:eastAsia="仿宋" w:hAnsi="Times New Roman" w:cs="Times New Roman"/>
                <w:szCs w:val="21"/>
              </w:rPr>
              <w:t>Electrogenerated chemiluminescence biosensing method for the detection of DNA methylation and assay of the methyltransferase activity</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bCs/>
                <w:kern w:val="0"/>
                <w:szCs w:val="21"/>
              </w:rPr>
            </w:pPr>
            <w:r w:rsidRPr="00117B88">
              <w:rPr>
                <w:rFonts w:ascii="Times New Roman" w:eastAsia="仿宋" w:hAnsi="Times New Roman" w:cs="Times New Roman"/>
                <w:szCs w:val="21"/>
                <w:shd w:val="clear" w:color="auto" w:fill="FFFFFF"/>
              </w:rPr>
              <w:t>Yan Li, Cancan Huang, Jianbin Zheng, Honglan Qi</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bCs/>
                <w:kern w:val="0"/>
                <w:szCs w:val="21"/>
              </w:rPr>
            </w:pPr>
            <w:r w:rsidRPr="00117B88">
              <w:rPr>
                <w:rFonts w:ascii="Times New Roman" w:eastAsia="仿宋" w:hAnsi="Times New Roman" w:cs="Times New Roman"/>
                <w:bCs/>
                <w:szCs w:val="21"/>
              </w:rPr>
              <w:t>Biosensors and Bioelectronics, 2012, 38(1), 407-410</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一区</w:t>
            </w:r>
            <w:r w:rsidRPr="00117B88">
              <w:rPr>
                <w:rFonts w:ascii="Times New Roman" w:eastAsia="仿宋" w:hAnsi="Times New Roman" w:cs="Times New Roman"/>
                <w:szCs w:val="21"/>
              </w:rPr>
              <w:t>IF: 8.173</w:t>
            </w:r>
          </w:p>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43</w:t>
            </w:r>
          </w:p>
        </w:tc>
      </w:tr>
      <w:tr w:rsidR="00DE7D17" w:rsidRPr="00117B88" w:rsidTr="00C6743F">
        <w:trPr>
          <w:trHeight w:val="1210"/>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3</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widowControl/>
              <w:adjustRightInd w:val="0"/>
              <w:snapToGrid w:val="0"/>
              <w:jc w:val="left"/>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A label-free supersandwich electrogenerated chemiluminescence method for the detection of DNA methylation and assay of the methyltransferase activity</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Yan Li, Xiaoe Luo, Zhao Yan, Jianbin Zheng, Honglan Qi</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szCs w:val="21"/>
              </w:rPr>
              <w:t>Chemical Communications, 2013, 49(37), 3869-3871</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一区</w:t>
            </w:r>
            <w:r w:rsidRPr="00117B88">
              <w:rPr>
                <w:rFonts w:ascii="Times New Roman" w:eastAsia="仿宋" w:hAnsi="Times New Roman" w:cs="Times New Roman"/>
                <w:szCs w:val="21"/>
              </w:rPr>
              <w:t>IF: 6.290</w:t>
            </w:r>
          </w:p>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30</w:t>
            </w:r>
          </w:p>
        </w:tc>
      </w:tr>
      <w:tr w:rsidR="00DE7D17" w:rsidRPr="00117B88" w:rsidTr="00C6743F">
        <w:trPr>
          <w:trHeight w:val="405"/>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lastRenderedPageBreak/>
              <w:t>4</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widowControl/>
              <w:adjustRightInd w:val="0"/>
              <w:snapToGrid w:val="0"/>
              <w:jc w:val="left"/>
              <w:rPr>
                <w:rFonts w:ascii="Times New Roman" w:eastAsia="仿宋" w:hAnsi="Times New Roman" w:cs="Times New Roman"/>
                <w:bCs/>
                <w:szCs w:val="21"/>
              </w:rPr>
            </w:pPr>
            <w:r w:rsidRPr="00117B88">
              <w:rPr>
                <w:rFonts w:ascii="Times New Roman" w:eastAsia="仿宋" w:hAnsi="Times New Roman" w:cs="Times New Roman"/>
                <w:bCs/>
                <w:szCs w:val="21"/>
              </w:rPr>
              <w:t>The determination of DNA methyltransferase activity by quenching of tris(2, 2’-bipyridine)ruthenium electrogenerated chemiluminescence with ferrocene</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bCs/>
                <w:kern w:val="0"/>
                <w:szCs w:val="21"/>
              </w:rPr>
            </w:pPr>
            <w:r w:rsidRPr="00117B88">
              <w:rPr>
                <w:rFonts w:ascii="Times New Roman" w:eastAsia="仿宋" w:hAnsi="Times New Roman" w:cs="Times New Roman"/>
                <w:kern w:val="0"/>
                <w:szCs w:val="21"/>
              </w:rPr>
              <w:t>Xiaoe Luo, Yan Li, Jianbin Zheng, Honglan Qi, Zhenxing Liang and Xiaohui Ning</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bCs/>
                <w:szCs w:val="21"/>
              </w:rPr>
            </w:pPr>
            <w:r w:rsidRPr="00117B88">
              <w:rPr>
                <w:rFonts w:ascii="Times New Roman" w:eastAsia="仿宋" w:hAnsi="Times New Roman" w:cs="Times New Roman"/>
                <w:bCs/>
                <w:szCs w:val="21"/>
              </w:rPr>
              <w:t>Chemical Communications, 2015, 51, 9487-9490</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一区</w:t>
            </w:r>
            <w:r w:rsidRPr="00117B88">
              <w:rPr>
                <w:rFonts w:ascii="Times New Roman" w:eastAsia="仿宋" w:hAnsi="Times New Roman" w:cs="Times New Roman"/>
                <w:szCs w:val="21"/>
              </w:rPr>
              <w:t>IF: 6.290</w:t>
            </w:r>
          </w:p>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9</w:t>
            </w:r>
          </w:p>
        </w:tc>
      </w:tr>
      <w:tr w:rsidR="00DE7D17" w:rsidRPr="00117B88" w:rsidTr="00C6743F">
        <w:trPr>
          <w:trHeight w:val="1182"/>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5</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widowControl/>
              <w:adjustRightInd w:val="0"/>
              <w:snapToGrid w:val="0"/>
              <w:jc w:val="left"/>
              <w:rPr>
                <w:rFonts w:ascii="Times New Roman" w:eastAsia="仿宋" w:hAnsi="Times New Roman" w:cs="Times New Roman"/>
                <w:szCs w:val="21"/>
                <w:shd w:val="clear" w:color="auto" w:fill="FFFFFF"/>
              </w:rPr>
            </w:pPr>
            <w:r w:rsidRPr="00117B88">
              <w:rPr>
                <w:rFonts w:ascii="Times New Roman" w:eastAsia="仿宋" w:hAnsi="Times New Roman" w:cs="Times New Roman"/>
                <w:szCs w:val="21"/>
                <w:shd w:val="clear" w:color="auto" w:fill="FFFFFF"/>
              </w:rPr>
              <w:t>Label-free electrogenerated chemiluminescence biosensing method for trace bleomycin detection based on a Ru(phen)</w:t>
            </w:r>
            <w:r w:rsidRPr="00117B88">
              <w:rPr>
                <w:rFonts w:ascii="Times New Roman" w:eastAsia="仿宋" w:hAnsi="Times New Roman" w:cs="Times New Roman"/>
                <w:szCs w:val="21"/>
                <w:shd w:val="clear" w:color="auto" w:fill="FFFFFF"/>
                <w:vertAlign w:val="subscript"/>
              </w:rPr>
              <w:t>3</w:t>
            </w:r>
            <w:r w:rsidRPr="00117B88">
              <w:rPr>
                <w:rFonts w:ascii="Times New Roman" w:eastAsia="仿宋" w:hAnsi="Times New Roman" w:cs="Times New Roman"/>
                <w:szCs w:val="21"/>
                <w:shd w:val="clear" w:color="auto" w:fill="FFFFFF"/>
                <w:vertAlign w:val="superscript"/>
              </w:rPr>
              <w:t>2+</w:t>
            </w:r>
            <w:r w:rsidRPr="00117B88">
              <w:rPr>
                <w:rFonts w:ascii="Times New Roman" w:eastAsia="仿宋" w:hAnsi="Times New Roman" w:cs="Times New Roman"/>
                <w:szCs w:val="21"/>
                <w:shd w:val="clear" w:color="auto" w:fill="FFFFFF"/>
              </w:rPr>
              <w:t>–hairpin DNA composite film electrode</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lang w:val="de-DE"/>
              </w:rPr>
            </w:pPr>
            <w:r w:rsidRPr="00117B88">
              <w:rPr>
                <w:rFonts w:ascii="Times New Roman" w:eastAsia="仿宋" w:hAnsi="Times New Roman" w:cs="Times New Roman"/>
                <w:szCs w:val="21"/>
                <w:shd w:val="clear" w:color="auto" w:fill="FFFFFF"/>
              </w:rPr>
              <w:t>Yan Li, Cancan Huang, Jianbin Zheng, Honglan Qi</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Biosensors and Bioelectronics, 2013, 44, 177-182</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一区</w:t>
            </w:r>
            <w:r w:rsidRPr="00117B88">
              <w:rPr>
                <w:rFonts w:ascii="Times New Roman" w:eastAsia="仿宋" w:hAnsi="Times New Roman" w:cs="Times New Roman"/>
                <w:szCs w:val="21"/>
              </w:rPr>
              <w:t>IF: 8.173</w:t>
            </w:r>
          </w:p>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15</w:t>
            </w:r>
          </w:p>
        </w:tc>
      </w:tr>
      <w:tr w:rsidR="00DE7D17" w:rsidRPr="00117B88" w:rsidTr="00C6743F">
        <w:trPr>
          <w:trHeight w:val="1184"/>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6</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autoSpaceDE w:val="0"/>
              <w:autoSpaceDN w:val="0"/>
              <w:adjustRightInd w:val="0"/>
              <w:snapToGrid w:val="0"/>
              <w:jc w:val="left"/>
              <w:rPr>
                <w:rFonts w:ascii="Times New Roman" w:eastAsia="仿宋" w:hAnsi="Times New Roman" w:cs="Times New Roman"/>
                <w:kern w:val="0"/>
                <w:szCs w:val="21"/>
              </w:rPr>
            </w:pPr>
            <w:r w:rsidRPr="00117B88">
              <w:rPr>
                <w:rFonts w:ascii="Times New Roman" w:eastAsia="仿宋" w:hAnsi="Times New Roman" w:cs="Times New Roman"/>
                <w:kern w:val="0"/>
                <w:szCs w:val="21"/>
              </w:rPr>
              <w:t>Electrogenerated chemiluminescence biosensing method for the discrimination of DNA hydroxymethylation and assay of the β-glucosyltransferase activity</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Huiping Sun, Shangxian Ma, Yan Li, Honglan Qi, Xiaohui Ning and Jianbin Zheng</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bCs/>
                <w:szCs w:val="21"/>
              </w:rPr>
            </w:pPr>
            <w:r w:rsidRPr="00117B88">
              <w:rPr>
                <w:rFonts w:ascii="Times New Roman" w:eastAsia="仿宋" w:hAnsi="Times New Roman" w:cs="Times New Roman"/>
                <w:bCs/>
                <w:szCs w:val="21"/>
              </w:rPr>
              <w:t>Biosensors and Bioelectronics, 2016, 79, 92–97</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一区</w:t>
            </w:r>
            <w:r w:rsidRPr="00117B88">
              <w:rPr>
                <w:rFonts w:ascii="Times New Roman" w:eastAsia="仿宋" w:hAnsi="Times New Roman" w:cs="Times New Roman"/>
                <w:szCs w:val="21"/>
              </w:rPr>
              <w:t>IF: 8.173</w:t>
            </w:r>
          </w:p>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xml:space="preserve">: 5 </w:t>
            </w:r>
          </w:p>
        </w:tc>
      </w:tr>
      <w:tr w:rsidR="00DE7D17" w:rsidRPr="00117B88" w:rsidTr="00C6743F">
        <w:trPr>
          <w:trHeight w:val="1257"/>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7</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widowControl/>
              <w:adjustRightInd w:val="0"/>
              <w:snapToGrid w:val="0"/>
              <w:jc w:val="left"/>
              <w:rPr>
                <w:rFonts w:ascii="Times New Roman" w:eastAsia="仿宋" w:hAnsi="Times New Roman" w:cs="Times New Roman"/>
                <w:kern w:val="0"/>
                <w:szCs w:val="21"/>
              </w:rPr>
            </w:pPr>
            <w:r w:rsidRPr="00117B88">
              <w:rPr>
                <w:rFonts w:ascii="Times New Roman" w:eastAsia="仿宋" w:hAnsi="Times New Roman" w:cs="Times New Roman"/>
                <w:szCs w:val="21"/>
                <w:shd w:val="clear" w:color="auto" w:fill="FFFFFF"/>
              </w:rPr>
              <w:t>Electrogenerated chemiluminescence biosensing method for the detection of DNA demethylase activity: Combining MoS</w:t>
            </w:r>
            <w:r w:rsidRPr="00117B88">
              <w:rPr>
                <w:rFonts w:ascii="Times New Roman" w:eastAsia="仿宋" w:hAnsi="Times New Roman" w:cs="Times New Roman"/>
                <w:szCs w:val="21"/>
                <w:shd w:val="clear" w:color="auto" w:fill="FFFFFF"/>
                <w:vertAlign w:val="subscript"/>
              </w:rPr>
              <w:t>2</w:t>
            </w:r>
            <w:r w:rsidRPr="00117B88">
              <w:rPr>
                <w:rFonts w:ascii="Times New Roman" w:eastAsia="仿宋" w:hAnsi="Times New Roman" w:cs="Times New Roman"/>
                <w:szCs w:val="21"/>
                <w:shd w:val="clear" w:color="auto" w:fill="FFFFFF"/>
              </w:rPr>
              <w:t xml:space="preserve"> nanocomposite with DNA supersandwich</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szCs w:val="21"/>
              </w:rPr>
              <w:t>Huiping Sun, Shangxian Ma, Yan Li, Honglan Qi</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bCs/>
                <w:szCs w:val="21"/>
              </w:rPr>
            </w:pPr>
            <w:r w:rsidRPr="00117B88">
              <w:rPr>
                <w:rFonts w:ascii="Times New Roman" w:eastAsia="仿宋" w:hAnsi="Times New Roman" w:cs="Times New Roman"/>
                <w:bCs/>
                <w:szCs w:val="21"/>
              </w:rPr>
              <w:t>Sensors and Actuators B, 2017, 244, 885–890</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color w:val="000000"/>
                <w:szCs w:val="21"/>
              </w:rPr>
            </w:pPr>
            <w:r w:rsidRPr="00117B88">
              <w:rPr>
                <w:rFonts w:ascii="Times New Roman" w:eastAsia="仿宋" w:hAnsi="Times New Roman" w:cs="Times New Roman"/>
                <w:color w:val="000000"/>
                <w:szCs w:val="21"/>
              </w:rPr>
              <w:t>SCI</w:t>
            </w:r>
            <w:r w:rsidRPr="00117B88">
              <w:rPr>
                <w:rFonts w:ascii="Times New Roman" w:eastAsia="仿宋" w:hAnsi="Times New Roman" w:cs="Times New Roman"/>
                <w:color w:val="000000"/>
                <w:szCs w:val="21"/>
              </w:rPr>
              <w:t>一区</w:t>
            </w:r>
            <w:r w:rsidRPr="00117B88">
              <w:rPr>
                <w:rFonts w:ascii="Times New Roman" w:eastAsia="仿宋" w:hAnsi="Times New Roman" w:cs="Times New Roman"/>
                <w:color w:val="000000"/>
                <w:szCs w:val="21"/>
              </w:rPr>
              <w:t>IF: 5.667</w:t>
            </w:r>
          </w:p>
          <w:p w:rsidR="00DE7D17" w:rsidRPr="00117B88" w:rsidRDefault="00DE7D17" w:rsidP="00CC282C">
            <w:pPr>
              <w:widowControl/>
              <w:adjustRightInd w:val="0"/>
              <w:snapToGrid w:val="0"/>
              <w:rPr>
                <w:rFonts w:ascii="Times New Roman" w:eastAsia="仿宋" w:hAnsi="Times New Roman" w:cs="Times New Roman"/>
                <w:bCs/>
                <w:kern w:val="0"/>
                <w:szCs w:val="21"/>
              </w:rPr>
            </w:pPr>
            <w:r w:rsidRPr="00117B88">
              <w:rPr>
                <w:rFonts w:ascii="Times New Roman" w:eastAsia="仿宋" w:hAnsi="Times New Roman" w:cs="Times New Roman"/>
                <w:color w:val="000000"/>
                <w:szCs w:val="21"/>
              </w:rPr>
              <w:t>他引</w:t>
            </w:r>
            <w:r w:rsidRPr="00117B88">
              <w:rPr>
                <w:rFonts w:ascii="Times New Roman" w:eastAsia="仿宋" w:hAnsi="Times New Roman" w:cs="Times New Roman"/>
                <w:color w:val="000000"/>
                <w:szCs w:val="21"/>
              </w:rPr>
              <w:t>: 0</w:t>
            </w:r>
          </w:p>
        </w:tc>
      </w:tr>
      <w:tr w:rsidR="00DE7D17" w:rsidRPr="00117B88" w:rsidTr="00C6743F">
        <w:trPr>
          <w:trHeight w:val="1403"/>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8</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autoSpaceDE w:val="0"/>
              <w:autoSpaceDN w:val="0"/>
              <w:adjustRightInd w:val="0"/>
              <w:snapToGrid w:val="0"/>
              <w:jc w:val="left"/>
              <w:rPr>
                <w:rFonts w:ascii="Times New Roman" w:eastAsia="仿宋" w:hAnsi="Times New Roman" w:cs="Times New Roman"/>
                <w:szCs w:val="21"/>
              </w:rPr>
            </w:pPr>
            <w:r w:rsidRPr="00117B88">
              <w:rPr>
                <w:rFonts w:ascii="Times New Roman" w:eastAsia="仿宋" w:hAnsi="Times New Roman" w:cs="Times New Roman"/>
                <w:szCs w:val="21"/>
              </w:rPr>
              <w:t>Label-free and amplified electrogenerated chemiluminescence biosensing method for the determination of DNA methyltransferase activity using signal reagent-assembled graphene oxide</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color w:val="000000"/>
                <w:kern w:val="0"/>
                <w:szCs w:val="21"/>
              </w:rPr>
            </w:pPr>
            <w:r w:rsidRPr="00117B88">
              <w:rPr>
                <w:rFonts w:ascii="Times New Roman" w:eastAsia="仿宋" w:hAnsi="Times New Roman" w:cs="Times New Roman"/>
                <w:szCs w:val="21"/>
              </w:rPr>
              <w:t>Yan Li, Zhao Yan, Jianbin Zheng, Honglan Qi</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bCs/>
                <w:szCs w:val="21"/>
              </w:rPr>
            </w:pPr>
            <w:r w:rsidRPr="00117B88">
              <w:rPr>
                <w:rFonts w:ascii="Times New Roman" w:eastAsia="仿宋" w:hAnsi="Times New Roman" w:cs="Times New Roman"/>
                <w:bCs/>
                <w:szCs w:val="21"/>
              </w:rPr>
              <w:t>Electrochimica Acta, 2014, 137, 454–461</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 xml:space="preserve">SCI </w:t>
            </w:r>
            <w:r w:rsidRPr="00117B88">
              <w:rPr>
                <w:rFonts w:ascii="Times New Roman" w:eastAsia="仿宋" w:hAnsi="Times New Roman" w:cs="Times New Roman"/>
                <w:szCs w:val="21"/>
              </w:rPr>
              <w:t>一区</w:t>
            </w:r>
            <w:r w:rsidRPr="00117B88">
              <w:rPr>
                <w:rFonts w:ascii="Times New Roman" w:eastAsia="仿宋" w:hAnsi="Times New Roman" w:cs="Times New Roman"/>
                <w:szCs w:val="21"/>
              </w:rPr>
              <w:t>IF: 5.116</w:t>
            </w:r>
          </w:p>
          <w:p w:rsidR="00DE7D17" w:rsidRPr="00117B88" w:rsidRDefault="00DE7D17" w:rsidP="00CC282C">
            <w:pPr>
              <w:widowControl/>
              <w:adjustRightInd w:val="0"/>
              <w:snapToGrid w:val="0"/>
              <w:rPr>
                <w:rFonts w:ascii="Times New Roman" w:eastAsia="仿宋" w:hAnsi="Times New Roman" w:cs="Times New Roman"/>
                <w:color w:val="000000"/>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4</w:t>
            </w:r>
          </w:p>
        </w:tc>
      </w:tr>
      <w:tr w:rsidR="00DE7D17" w:rsidRPr="00117B88" w:rsidTr="00C6743F">
        <w:trPr>
          <w:trHeight w:val="1701"/>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9</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autoSpaceDE w:val="0"/>
              <w:autoSpaceDN w:val="0"/>
              <w:adjustRightInd w:val="0"/>
              <w:snapToGrid w:val="0"/>
              <w:jc w:val="left"/>
              <w:rPr>
                <w:rFonts w:ascii="Times New Roman" w:eastAsia="仿宋" w:hAnsi="Times New Roman" w:cs="Times New Roman"/>
                <w:kern w:val="0"/>
                <w:szCs w:val="21"/>
              </w:rPr>
            </w:pPr>
            <w:r w:rsidRPr="00117B88">
              <w:rPr>
                <w:rFonts w:ascii="Times New Roman" w:eastAsia="仿宋" w:hAnsi="Times New Roman" w:cs="Times New Roman"/>
                <w:kern w:val="0"/>
                <w:szCs w:val="21"/>
              </w:rPr>
              <w:t>A sensitive signal-off electrogenerated chemiluminescence biosensing method for the discrimination of DNA hydroxymethylation based on glycosylation modification and signal quenching from ferroceneboronic acid</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Yuling Zhang, Yan Li, Yingying Wei, Huiping Sun, Huan Wang</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bCs/>
                <w:szCs w:val="21"/>
              </w:rPr>
            </w:pPr>
            <w:r w:rsidRPr="00117B88">
              <w:rPr>
                <w:rFonts w:ascii="Times New Roman" w:eastAsia="仿宋" w:hAnsi="Times New Roman" w:cs="Times New Roman"/>
                <w:kern w:val="0"/>
                <w:szCs w:val="21"/>
              </w:rPr>
              <w:t>Talanta, 2017, 170, 546–551.</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二区</w:t>
            </w:r>
            <w:r w:rsidRPr="00117B88">
              <w:rPr>
                <w:rFonts w:ascii="Times New Roman" w:eastAsia="仿宋" w:hAnsi="Times New Roman" w:cs="Times New Roman"/>
                <w:szCs w:val="21"/>
              </w:rPr>
              <w:t>IF: 4.244</w:t>
            </w:r>
          </w:p>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1</w:t>
            </w:r>
          </w:p>
        </w:tc>
      </w:tr>
      <w:tr w:rsidR="00DE7D17" w:rsidRPr="00117B88" w:rsidTr="00C6743F">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10</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widowControl/>
              <w:adjustRightInd w:val="0"/>
              <w:snapToGrid w:val="0"/>
              <w:jc w:val="left"/>
              <w:rPr>
                <w:rFonts w:ascii="Times New Roman" w:eastAsia="仿宋" w:hAnsi="Times New Roman" w:cs="Times New Roman"/>
                <w:kern w:val="0"/>
                <w:szCs w:val="21"/>
              </w:rPr>
            </w:pPr>
            <w:r w:rsidRPr="00117B88">
              <w:rPr>
                <w:rFonts w:ascii="Times New Roman" w:eastAsia="仿宋" w:hAnsi="Times New Roman" w:cs="Times New Roman"/>
                <w:kern w:val="0"/>
                <w:szCs w:val="21"/>
              </w:rPr>
              <w:t>Ultrasensitive electrogenerated chemiluminescent DNA-based biosensing switch for the determination of bleomycin</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Yan Li, Cancan Huang, Jianbin Zheng, Honglan Qi</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bCs/>
                <w:szCs w:val="21"/>
              </w:rPr>
            </w:pPr>
            <w:r w:rsidRPr="00117B88">
              <w:rPr>
                <w:rFonts w:ascii="Times New Roman" w:eastAsia="仿宋" w:hAnsi="Times New Roman" w:cs="Times New Roman"/>
                <w:kern w:val="0"/>
                <w:szCs w:val="21"/>
              </w:rPr>
              <w:t>Talanta, 2013, 103, 8-13</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二区</w:t>
            </w:r>
            <w:r w:rsidRPr="00117B88">
              <w:rPr>
                <w:rFonts w:ascii="Times New Roman" w:eastAsia="仿宋" w:hAnsi="Times New Roman" w:cs="Times New Roman"/>
                <w:szCs w:val="21"/>
              </w:rPr>
              <w:t>IF:</w:t>
            </w:r>
            <w:r w:rsidRPr="00117B88">
              <w:rPr>
                <w:rFonts w:ascii="Times New Roman" w:eastAsia="仿宋" w:hAnsi="Times New Roman" w:cs="Times New Roman"/>
                <w:kern w:val="0"/>
                <w:szCs w:val="21"/>
              </w:rPr>
              <w:t xml:space="preserve"> 4.244</w:t>
            </w:r>
          </w:p>
          <w:p w:rsidR="00DE7D17" w:rsidRPr="00117B88" w:rsidRDefault="00DE7D17" w:rsidP="00CC282C">
            <w:pPr>
              <w:widowControl/>
              <w:adjustRightInd w:val="0"/>
              <w:snapToGrid w:val="0"/>
              <w:rPr>
                <w:rFonts w:ascii="Times New Roman" w:eastAsia="仿宋" w:hAnsi="Times New Roman" w:cs="Times New Roman"/>
                <w:kern w:val="0"/>
                <w:szCs w:val="21"/>
                <w:lang w:val="pt-BR"/>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8</w:t>
            </w:r>
          </w:p>
        </w:tc>
      </w:tr>
      <w:tr w:rsidR="00DE7D17" w:rsidRPr="00117B88" w:rsidTr="00C6743F">
        <w:trPr>
          <w:trHeight w:val="405"/>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1</w:t>
            </w:r>
            <w:r w:rsidR="00134A86" w:rsidRPr="00117B88">
              <w:rPr>
                <w:rFonts w:ascii="Times New Roman" w:eastAsia="仿宋" w:hAnsi="Times New Roman" w:cs="Times New Roman"/>
                <w:bCs/>
                <w:kern w:val="0"/>
                <w:szCs w:val="21"/>
              </w:rPr>
              <w:t>1</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widowControl/>
              <w:adjustRightInd w:val="0"/>
              <w:snapToGrid w:val="0"/>
              <w:jc w:val="left"/>
              <w:rPr>
                <w:rFonts w:ascii="Times New Roman" w:eastAsia="仿宋" w:hAnsi="Times New Roman" w:cs="Times New Roman"/>
                <w:szCs w:val="21"/>
              </w:rPr>
            </w:pPr>
            <w:r w:rsidRPr="00117B88">
              <w:rPr>
                <w:rFonts w:ascii="Times New Roman" w:eastAsia="仿宋" w:hAnsi="Times New Roman" w:cs="Times New Roman"/>
                <w:szCs w:val="21"/>
              </w:rPr>
              <w:t>Electrogenerated chemiluminescence biosensing method for highly sensitive detection of DNA hydroxymethylation: Combining glycosylation with Ru(phen)</w:t>
            </w:r>
            <w:r w:rsidRPr="00117B88">
              <w:rPr>
                <w:rFonts w:ascii="Times New Roman" w:eastAsia="仿宋" w:hAnsi="Times New Roman" w:cs="Times New Roman"/>
                <w:szCs w:val="21"/>
                <w:vertAlign w:val="subscript"/>
              </w:rPr>
              <w:t>3</w:t>
            </w:r>
            <w:r w:rsidRPr="00117B88">
              <w:rPr>
                <w:rFonts w:ascii="Times New Roman" w:eastAsia="仿宋" w:hAnsi="Times New Roman" w:cs="Times New Roman"/>
                <w:szCs w:val="21"/>
                <w:vertAlign w:val="superscript"/>
              </w:rPr>
              <w:t>2+</w:t>
            </w:r>
            <w:r w:rsidRPr="00117B88">
              <w:rPr>
                <w:rFonts w:ascii="Times New Roman" w:eastAsia="仿宋" w:hAnsi="Times New Roman" w:cs="Times New Roman"/>
                <w:szCs w:val="21"/>
              </w:rPr>
              <w:t>-assembled graphene oxid</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Yingying Wei, Huiping Sun, Jian Li, Yuling Zhang, Yan Li, Jianxun Lin,Tianshu Wang, Ming Zhou</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bCs/>
                <w:szCs w:val="21"/>
              </w:rPr>
              <w:t>Journal of Electroanalytical Chemistry, 2017, 795, 123–129</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三区</w:t>
            </w:r>
            <w:r w:rsidRPr="00117B88">
              <w:rPr>
                <w:rFonts w:ascii="Times New Roman" w:eastAsia="仿宋" w:hAnsi="Times New Roman" w:cs="Times New Roman"/>
                <w:szCs w:val="21"/>
              </w:rPr>
              <w:t>IF: 3.235</w:t>
            </w:r>
          </w:p>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3</w:t>
            </w:r>
          </w:p>
        </w:tc>
      </w:tr>
      <w:tr w:rsidR="00DE7D17" w:rsidRPr="00117B88" w:rsidTr="00C6743F">
        <w:trPr>
          <w:trHeight w:val="405"/>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1</w:t>
            </w:r>
            <w:r w:rsidR="00134A86" w:rsidRPr="00117B88">
              <w:rPr>
                <w:rFonts w:ascii="Times New Roman" w:eastAsia="仿宋" w:hAnsi="Times New Roman" w:cs="Times New Roman"/>
                <w:bCs/>
                <w:kern w:val="0"/>
                <w:szCs w:val="21"/>
              </w:rPr>
              <w:t>2</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widowControl/>
              <w:adjustRightInd w:val="0"/>
              <w:snapToGrid w:val="0"/>
              <w:jc w:val="left"/>
              <w:rPr>
                <w:rFonts w:ascii="Times New Roman" w:eastAsia="仿宋" w:hAnsi="Times New Roman" w:cs="Times New Roman"/>
                <w:kern w:val="0"/>
                <w:szCs w:val="21"/>
              </w:rPr>
            </w:pPr>
            <w:r w:rsidRPr="00117B88">
              <w:rPr>
                <w:rFonts w:ascii="Times New Roman" w:eastAsia="仿宋" w:hAnsi="Times New Roman" w:cs="Times New Roman"/>
                <w:kern w:val="0"/>
                <w:szCs w:val="21"/>
              </w:rPr>
              <w:t>Electrogenerated chemiluminescence biosensing method for methyltransferase activity using tris(1, 10-phenanthroline) ruthenium-assembled graphene oxide</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Yan Li, Zhao Yan, Jianbin Zheng</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Journal of Electroanalytical Chemistry, 2014, 731, 133–138</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lang w:val="pt-BR"/>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三区</w:t>
            </w:r>
            <w:r w:rsidRPr="00117B88">
              <w:rPr>
                <w:rFonts w:ascii="Times New Roman" w:eastAsia="仿宋" w:hAnsi="Times New Roman" w:cs="Times New Roman"/>
                <w:szCs w:val="21"/>
              </w:rPr>
              <w:t>IF: 3.235</w:t>
            </w:r>
            <w:r w:rsidRPr="00117B88">
              <w:rPr>
                <w:rFonts w:ascii="Times New Roman" w:eastAsia="仿宋" w:hAnsi="Times New Roman" w:cs="Times New Roman"/>
                <w:szCs w:val="21"/>
              </w:rPr>
              <w:t>他引</w:t>
            </w:r>
            <w:r w:rsidRPr="00117B88">
              <w:rPr>
                <w:rFonts w:ascii="Times New Roman" w:eastAsia="仿宋" w:hAnsi="Times New Roman" w:cs="Times New Roman"/>
                <w:szCs w:val="21"/>
              </w:rPr>
              <w:t>: 9</w:t>
            </w:r>
          </w:p>
        </w:tc>
      </w:tr>
      <w:tr w:rsidR="00DE7D17" w:rsidRPr="00117B88" w:rsidTr="00C6743F">
        <w:trPr>
          <w:trHeight w:val="1045"/>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lastRenderedPageBreak/>
              <w:t>1</w:t>
            </w:r>
            <w:r w:rsidR="00134A86" w:rsidRPr="00117B88">
              <w:rPr>
                <w:rFonts w:ascii="Times New Roman" w:eastAsia="仿宋" w:hAnsi="Times New Roman" w:cs="Times New Roman"/>
                <w:bCs/>
                <w:kern w:val="0"/>
                <w:szCs w:val="21"/>
              </w:rPr>
              <w:t>3</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autoSpaceDE w:val="0"/>
              <w:autoSpaceDN w:val="0"/>
              <w:adjustRightInd w:val="0"/>
              <w:snapToGrid w:val="0"/>
              <w:jc w:val="left"/>
              <w:rPr>
                <w:rFonts w:ascii="Times New Roman" w:eastAsia="仿宋" w:hAnsi="Times New Roman" w:cs="Times New Roman"/>
                <w:szCs w:val="21"/>
              </w:rPr>
            </w:pPr>
            <w:r w:rsidRPr="00117B88">
              <w:rPr>
                <w:rFonts w:ascii="Times New Roman" w:eastAsia="仿宋" w:hAnsi="Times New Roman" w:cs="Times New Roman"/>
                <w:szCs w:val="21"/>
              </w:rPr>
              <w:t>Proximity hybridization-regulated electrogenerated chemiluminescence bioassay of α-fetoprotein via target-induced quenching mechanism</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szCs w:val="21"/>
              </w:rPr>
              <w:t>Hongfang Gao, Xiaofei Wang, Man Li, Honglan Qi, Qiang Gao, Chengxiao Zhang</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bCs/>
                <w:szCs w:val="21"/>
              </w:rPr>
              <w:t>Biosensors and Bioelectronics</w:t>
            </w:r>
            <w:r w:rsidR="00496066" w:rsidRPr="00117B88">
              <w:rPr>
                <w:rFonts w:ascii="Times New Roman" w:eastAsia="仿宋" w:hAnsi="Times New Roman" w:cs="Times New Roman"/>
                <w:bCs/>
                <w:szCs w:val="21"/>
              </w:rPr>
              <w:t>,</w:t>
            </w:r>
            <w:r w:rsidRPr="00117B88">
              <w:rPr>
                <w:rFonts w:ascii="Times New Roman" w:eastAsia="仿宋" w:hAnsi="Times New Roman" w:cs="Times New Roman"/>
                <w:bCs/>
                <w:szCs w:val="21"/>
              </w:rPr>
              <w:t xml:space="preserve"> 2017, 98, 62–67</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一区</w:t>
            </w:r>
            <w:r w:rsidRPr="00117B88">
              <w:rPr>
                <w:rFonts w:ascii="Times New Roman" w:eastAsia="仿宋" w:hAnsi="Times New Roman" w:cs="Times New Roman"/>
                <w:szCs w:val="21"/>
              </w:rPr>
              <w:t>IF: 8.173</w:t>
            </w:r>
          </w:p>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5</w:t>
            </w:r>
          </w:p>
        </w:tc>
      </w:tr>
      <w:tr w:rsidR="00DE7D17" w:rsidRPr="00117B88" w:rsidTr="00C6743F">
        <w:trPr>
          <w:trHeight w:val="405"/>
        </w:trPr>
        <w:tc>
          <w:tcPr>
            <w:tcW w:w="0" w:type="auto"/>
            <w:tcBorders>
              <w:top w:val="single" w:sz="4" w:space="0" w:color="auto"/>
              <w:left w:val="single" w:sz="4" w:space="0" w:color="auto"/>
              <w:bottom w:val="single" w:sz="4" w:space="0" w:color="auto"/>
              <w:right w:val="single" w:sz="4" w:space="0" w:color="auto"/>
            </w:tcBorders>
            <w:vAlign w:val="center"/>
          </w:tcPr>
          <w:p w:rsidR="00DE7D17" w:rsidRPr="00117B88" w:rsidRDefault="00DE7D17"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1</w:t>
            </w:r>
            <w:r w:rsidR="00134A86" w:rsidRPr="00117B88">
              <w:rPr>
                <w:rFonts w:ascii="Times New Roman" w:eastAsia="仿宋" w:hAnsi="Times New Roman" w:cs="Times New Roman"/>
                <w:bCs/>
                <w:kern w:val="0"/>
                <w:szCs w:val="21"/>
              </w:rPr>
              <w:t>4</w:t>
            </w:r>
          </w:p>
        </w:tc>
        <w:tc>
          <w:tcPr>
            <w:tcW w:w="0" w:type="auto"/>
            <w:tcBorders>
              <w:top w:val="single" w:sz="4" w:space="0" w:color="auto"/>
              <w:left w:val="nil"/>
              <w:bottom w:val="single" w:sz="4" w:space="0" w:color="auto"/>
              <w:right w:val="single" w:sz="4" w:space="0" w:color="auto"/>
            </w:tcBorders>
          </w:tcPr>
          <w:p w:rsidR="00DE7D17" w:rsidRPr="00117B88" w:rsidRDefault="00DE7D17" w:rsidP="00117B88">
            <w:pPr>
              <w:widowControl/>
              <w:adjustRightInd w:val="0"/>
              <w:snapToGrid w:val="0"/>
              <w:jc w:val="left"/>
              <w:rPr>
                <w:rFonts w:ascii="Times New Roman" w:eastAsia="仿宋" w:hAnsi="Times New Roman" w:cs="Times New Roman"/>
                <w:kern w:val="0"/>
                <w:szCs w:val="21"/>
              </w:rPr>
            </w:pPr>
            <w:r w:rsidRPr="00117B88">
              <w:rPr>
                <w:rFonts w:ascii="Times New Roman" w:eastAsia="仿宋" w:hAnsi="Times New Roman" w:cs="Times New Roman"/>
                <w:kern w:val="0"/>
                <w:szCs w:val="21"/>
              </w:rPr>
              <w:t>Highly sensitive electrochemiluminescence assay for cardiac troponin I and adenosine triphosphate by using supersandwich amplification and bifunctional aptamer</w:t>
            </w:r>
          </w:p>
        </w:tc>
        <w:tc>
          <w:tcPr>
            <w:tcW w:w="0" w:type="auto"/>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Xia Liu, Huiwen Liu, Min Li, Honglan Qi, Qiang Gao, Chengxiao Zhang</w:t>
            </w:r>
          </w:p>
        </w:tc>
        <w:tc>
          <w:tcPr>
            <w:tcW w:w="1789"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ChemElectroChem</w:t>
            </w:r>
            <w:r w:rsidR="00496066" w:rsidRPr="00117B88">
              <w:rPr>
                <w:rFonts w:ascii="Times New Roman" w:eastAsia="仿宋" w:hAnsi="Times New Roman" w:cs="Times New Roman"/>
                <w:kern w:val="0"/>
                <w:szCs w:val="21"/>
              </w:rPr>
              <w:t>,</w:t>
            </w:r>
            <w:r w:rsidRPr="00117B88">
              <w:rPr>
                <w:rFonts w:ascii="Times New Roman" w:eastAsia="仿宋" w:hAnsi="Times New Roman" w:cs="Times New Roman"/>
                <w:kern w:val="0"/>
                <w:szCs w:val="21"/>
              </w:rPr>
              <w:t xml:space="preserve"> 2017, 4, 1708–1713</w:t>
            </w:r>
          </w:p>
        </w:tc>
        <w:tc>
          <w:tcPr>
            <w:tcW w:w="1071" w:type="dxa"/>
            <w:tcBorders>
              <w:top w:val="single" w:sz="4" w:space="0" w:color="auto"/>
              <w:left w:val="nil"/>
              <w:bottom w:val="single" w:sz="4" w:space="0" w:color="auto"/>
              <w:right w:val="single" w:sz="4" w:space="0" w:color="auto"/>
            </w:tcBorders>
          </w:tcPr>
          <w:p w:rsidR="00DE7D17" w:rsidRPr="00117B88" w:rsidRDefault="00DE7D17" w:rsidP="00CC282C">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二区</w:t>
            </w:r>
            <w:r w:rsidRPr="00117B88">
              <w:rPr>
                <w:rFonts w:ascii="Times New Roman" w:eastAsia="仿宋" w:hAnsi="Times New Roman" w:cs="Times New Roman"/>
                <w:szCs w:val="21"/>
              </w:rPr>
              <w:t>IF: 4.446</w:t>
            </w:r>
          </w:p>
          <w:p w:rsidR="00DE7D17" w:rsidRPr="00117B88" w:rsidRDefault="00DE7D17" w:rsidP="00CC282C">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xml:space="preserve">: 0  </w:t>
            </w:r>
          </w:p>
        </w:tc>
      </w:tr>
      <w:tr w:rsidR="00496066" w:rsidRPr="00117B88" w:rsidTr="00C6743F">
        <w:trPr>
          <w:trHeight w:val="405"/>
        </w:trPr>
        <w:tc>
          <w:tcPr>
            <w:tcW w:w="0" w:type="auto"/>
            <w:tcBorders>
              <w:top w:val="single" w:sz="4" w:space="0" w:color="auto"/>
              <w:left w:val="single" w:sz="4" w:space="0" w:color="auto"/>
              <w:bottom w:val="single" w:sz="4" w:space="0" w:color="auto"/>
              <w:right w:val="single" w:sz="4" w:space="0" w:color="auto"/>
            </w:tcBorders>
            <w:vAlign w:val="center"/>
          </w:tcPr>
          <w:p w:rsidR="00496066" w:rsidRPr="00117B88" w:rsidRDefault="00496066" w:rsidP="00C6743F">
            <w:pPr>
              <w:widowControl/>
              <w:adjustRightInd w:val="0"/>
              <w:snapToGrid w:val="0"/>
              <w:jc w:val="center"/>
              <w:rPr>
                <w:rFonts w:ascii="Times New Roman" w:eastAsia="仿宋" w:hAnsi="Times New Roman" w:cs="Times New Roman"/>
                <w:bCs/>
                <w:kern w:val="0"/>
                <w:szCs w:val="21"/>
              </w:rPr>
            </w:pPr>
            <w:r w:rsidRPr="00117B88">
              <w:rPr>
                <w:rFonts w:ascii="Times New Roman" w:eastAsia="仿宋" w:hAnsi="Times New Roman" w:cs="Times New Roman"/>
                <w:bCs/>
                <w:kern w:val="0"/>
                <w:szCs w:val="21"/>
              </w:rPr>
              <w:t>15</w:t>
            </w:r>
          </w:p>
        </w:tc>
        <w:tc>
          <w:tcPr>
            <w:tcW w:w="0" w:type="auto"/>
            <w:tcBorders>
              <w:top w:val="single" w:sz="4" w:space="0" w:color="auto"/>
              <w:left w:val="nil"/>
              <w:bottom w:val="single" w:sz="4" w:space="0" w:color="auto"/>
              <w:right w:val="single" w:sz="4" w:space="0" w:color="auto"/>
            </w:tcBorders>
          </w:tcPr>
          <w:p w:rsidR="00496066" w:rsidRPr="00117B88" w:rsidRDefault="00496066" w:rsidP="00117B88">
            <w:pPr>
              <w:widowControl/>
              <w:adjustRightInd w:val="0"/>
              <w:snapToGrid w:val="0"/>
              <w:jc w:val="left"/>
              <w:rPr>
                <w:rFonts w:ascii="Times New Roman" w:eastAsia="仿宋" w:hAnsi="Times New Roman" w:cs="Times New Roman"/>
                <w:kern w:val="0"/>
                <w:szCs w:val="21"/>
              </w:rPr>
            </w:pPr>
            <w:r w:rsidRPr="00117B88">
              <w:rPr>
                <w:rFonts w:ascii="Times New Roman" w:eastAsia="仿宋" w:hAnsi="Times New Roman" w:cs="Times New Roman"/>
                <w:kern w:val="0"/>
                <w:szCs w:val="21"/>
              </w:rPr>
              <w:t>A fluorine-doped tin oxide electrode modified with gold nanoparticles for electrochemiluminescent determination of hydrogen peroxide released by living cells</w:t>
            </w:r>
          </w:p>
        </w:tc>
        <w:tc>
          <w:tcPr>
            <w:tcW w:w="0" w:type="auto"/>
            <w:tcBorders>
              <w:top w:val="single" w:sz="4" w:space="0" w:color="auto"/>
              <w:left w:val="nil"/>
              <w:bottom w:val="single" w:sz="4" w:space="0" w:color="auto"/>
              <w:right w:val="single" w:sz="4" w:space="0" w:color="auto"/>
            </w:tcBorders>
          </w:tcPr>
          <w:p w:rsidR="00496066" w:rsidRPr="00117B88" w:rsidRDefault="00496066" w:rsidP="00496066">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Man Li, Hongfang Gao, Xiaofei Wang, Yufeng Wang, Honglan Qi</w:t>
            </w:r>
          </w:p>
        </w:tc>
        <w:tc>
          <w:tcPr>
            <w:tcW w:w="1789" w:type="dxa"/>
            <w:tcBorders>
              <w:top w:val="single" w:sz="4" w:space="0" w:color="auto"/>
              <w:left w:val="nil"/>
              <w:bottom w:val="single" w:sz="4" w:space="0" w:color="auto"/>
              <w:right w:val="single" w:sz="4" w:space="0" w:color="auto"/>
            </w:tcBorders>
          </w:tcPr>
          <w:p w:rsidR="00496066" w:rsidRPr="00117B88" w:rsidRDefault="00496066" w:rsidP="00496066">
            <w:pPr>
              <w:widowControl/>
              <w:adjustRightInd w:val="0"/>
              <w:snapToGrid w:val="0"/>
              <w:rPr>
                <w:rFonts w:ascii="Times New Roman" w:eastAsia="仿宋" w:hAnsi="Times New Roman" w:cs="Times New Roman"/>
                <w:kern w:val="0"/>
                <w:szCs w:val="21"/>
              </w:rPr>
            </w:pPr>
            <w:r w:rsidRPr="00117B88">
              <w:rPr>
                <w:rFonts w:ascii="Times New Roman" w:eastAsia="仿宋" w:hAnsi="Times New Roman" w:cs="Times New Roman"/>
                <w:kern w:val="0"/>
                <w:szCs w:val="21"/>
              </w:rPr>
              <w:t>Microchimica Acta, 2017, 184, 603–610</w:t>
            </w:r>
          </w:p>
        </w:tc>
        <w:tc>
          <w:tcPr>
            <w:tcW w:w="1071" w:type="dxa"/>
            <w:tcBorders>
              <w:top w:val="single" w:sz="4" w:space="0" w:color="auto"/>
              <w:left w:val="nil"/>
              <w:bottom w:val="single" w:sz="4" w:space="0" w:color="auto"/>
              <w:right w:val="single" w:sz="4" w:space="0" w:color="auto"/>
            </w:tcBorders>
          </w:tcPr>
          <w:p w:rsidR="00496066" w:rsidRPr="00117B88" w:rsidRDefault="00496066" w:rsidP="00496066">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SCI</w:t>
            </w:r>
            <w:r w:rsidRPr="00117B88">
              <w:rPr>
                <w:rFonts w:ascii="Times New Roman" w:eastAsia="仿宋" w:hAnsi="Times New Roman" w:cs="Times New Roman"/>
                <w:szCs w:val="21"/>
              </w:rPr>
              <w:t>二区</w:t>
            </w:r>
            <w:r w:rsidRPr="00117B88">
              <w:rPr>
                <w:rFonts w:ascii="Times New Roman" w:eastAsia="仿宋" w:hAnsi="Times New Roman" w:cs="Times New Roman"/>
                <w:szCs w:val="21"/>
              </w:rPr>
              <w:t>IF: 5.705</w:t>
            </w:r>
          </w:p>
          <w:p w:rsidR="00496066" w:rsidRPr="00117B88" w:rsidRDefault="00496066" w:rsidP="00496066">
            <w:pPr>
              <w:widowControl/>
              <w:adjustRightInd w:val="0"/>
              <w:snapToGrid w:val="0"/>
              <w:rPr>
                <w:rFonts w:ascii="Times New Roman" w:eastAsia="仿宋" w:hAnsi="Times New Roman" w:cs="Times New Roman"/>
                <w:szCs w:val="21"/>
              </w:rPr>
            </w:pPr>
            <w:r w:rsidRPr="00117B88">
              <w:rPr>
                <w:rFonts w:ascii="Times New Roman" w:eastAsia="仿宋" w:hAnsi="Times New Roman" w:cs="Times New Roman"/>
                <w:szCs w:val="21"/>
              </w:rPr>
              <w:t>他引</w:t>
            </w:r>
            <w:r w:rsidRPr="00117B88">
              <w:rPr>
                <w:rFonts w:ascii="Times New Roman" w:eastAsia="仿宋" w:hAnsi="Times New Roman" w:cs="Times New Roman"/>
                <w:szCs w:val="21"/>
              </w:rPr>
              <w:t>: 5</w:t>
            </w:r>
          </w:p>
        </w:tc>
      </w:tr>
    </w:tbl>
    <w:p w:rsidR="008C0B4F" w:rsidRPr="00117B88" w:rsidRDefault="008C0B4F" w:rsidP="00CC282C">
      <w:pPr>
        <w:adjustRightInd w:val="0"/>
        <w:snapToGrid w:val="0"/>
        <w:rPr>
          <w:rFonts w:ascii="Times New Roman" w:eastAsia="仿宋" w:hAnsi="Times New Roman" w:cs="Times New Roman"/>
          <w:szCs w:val="21"/>
        </w:rPr>
      </w:pPr>
    </w:p>
    <w:sectPr w:rsidR="008C0B4F" w:rsidRPr="00117B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843" w:rsidRDefault="006C5843" w:rsidP="00DE7D17">
      <w:r>
        <w:separator/>
      </w:r>
    </w:p>
  </w:endnote>
  <w:endnote w:type="continuationSeparator" w:id="0">
    <w:p w:rsidR="006C5843" w:rsidRDefault="006C5843" w:rsidP="00DE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843" w:rsidRDefault="006C5843" w:rsidP="00DE7D17">
      <w:r>
        <w:separator/>
      </w:r>
    </w:p>
  </w:footnote>
  <w:footnote w:type="continuationSeparator" w:id="0">
    <w:p w:rsidR="006C5843" w:rsidRDefault="006C5843" w:rsidP="00DE7D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17"/>
    <w:rsid w:val="000664B7"/>
    <w:rsid w:val="000B4ACB"/>
    <w:rsid w:val="000F7834"/>
    <w:rsid w:val="00117B88"/>
    <w:rsid w:val="00134A86"/>
    <w:rsid w:val="00245452"/>
    <w:rsid w:val="00254EB3"/>
    <w:rsid w:val="0027357F"/>
    <w:rsid w:val="0029130C"/>
    <w:rsid w:val="002F39DA"/>
    <w:rsid w:val="00321618"/>
    <w:rsid w:val="003218FC"/>
    <w:rsid w:val="00372F25"/>
    <w:rsid w:val="003B2A3A"/>
    <w:rsid w:val="00402D22"/>
    <w:rsid w:val="00435012"/>
    <w:rsid w:val="00444C14"/>
    <w:rsid w:val="00472ED2"/>
    <w:rsid w:val="004914E5"/>
    <w:rsid w:val="00496066"/>
    <w:rsid w:val="004B1BF5"/>
    <w:rsid w:val="004C4422"/>
    <w:rsid w:val="00515C8B"/>
    <w:rsid w:val="0051751D"/>
    <w:rsid w:val="005E1FD2"/>
    <w:rsid w:val="00611E65"/>
    <w:rsid w:val="00614B28"/>
    <w:rsid w:val="006C5843"/>
    <w:rsid w:val="006C6D2E"/>
    <w:rsid w:val="00742782"/>
    <w:rsid w:val="00754D27"/>
    <w:rsid w:val="00787C55"/>
    <w:rsid w:val="007B2012"/>
    <w:rsid w:val="008116F3"/>
    <w:rsid w:val="00831923"/>
    <w:rsid w:val="00833C23"/>
    <w:rsid w:val="00834A8E"/>
    <w:rsid w:val="008453FC"/>
    <w:rsid w:val="0086511E"/>
    <w:rsid w:val="008A6C91"/>
    <w:rsid w:val="008C0B4F"/>
    <w:rsid w:val="008F3FB2"/>
    <w:rsid w:val="00900FFB"/>
    <w:rsid w:val="00972A55"/>
    <w:rsid w:val="0098590D"/>
    <w:rsid w:val="009F4075"/>
    <w:rsid w:val="00A005B2"/>
    <w:rsid w:val="00A5062F"/>
    <w:rsid w:val="00A6142C"/>
    <w:rsid w:val="00B10574"/>
    <w:rsid w:val="00B369A0"/>
    <w:rsid w:val="00BF5D0E"/>
    <w:rsid w:val="00C6743F"/>
    <w:rsid w:val="00C74BA5"/>
    <w:rsid w:val="00C76D9C"/>
    <w:rsid w:val="00C86849"/>
    <w:rsid w:val="00CC282C"/>
    <w:rsid w:val="00CF7A33"/>
    <w:rsid w:val="00D33E0F"/>
    <w:rsid w:val="00D5545A"/>
    <w:rsid w:val="00DD6B27"/>
    <w:rsid w:val="00DE7D17"/>
    <w:rsid w:val="00E01053"/>
    <w:rsid w:val="00F14C15"/>
    <w:rsid w:val="00F3171C"/>
    <w:rsid w:val="00F37E01"/>
    <w:rsid w:val="00F82E3B"/>
    <w:rsid w:val="00FA0CD6"/>
    <w:rsid w:val="00FA0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6E03C5-0617-4E39-98CA-90441CB9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7D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E7D17"/>
    <w:rPr>
      <w:sz w:val="18"/>
      <w:szCs w:val="18"/>
    </w:rPr>
  </w:style>
  <w:style w:type="paragraph" w:styleId="a5">
    <w:name w:val="footer"/>
    <w:basedOn w:val="a"/>
    <w:link w:val="a6"/>
    <w:uiPriority w:val="99"/>
    <w:unhideWhenUsed/>
    <w:rsid w:val="00DE7D17"/>
    <w:pPr>
      <w:tabs>
        <w:tab w:val="center" w:pos="4153"/>
        <w:tab w:val="right" w:pos="8306"/>
      </w:tabs>
      <w:snapToGrid w:val="0"/>
      <w:jc w:val="left"/>
    </w:pPr>
    <w:rPr>
      <w:sz w:val="18"/>
      <w:szCs w:val="18"/>
    </w:rPr>
  </w:style>
  <w:style w:type="character" w:customStyle="1" w:styleId="a6">
    <w:name w:val="页脚 字符"/>
    <w:basedOn w:val="a0"/>
    <w:link w:val="a5"/>
    <w:uiPriority w:val="99"/>
    <w:rsid w:val="00DE7D17"/>
    <w:rPr>
      <w:sz w:val="18"/>
      <w:szCs w:val="18"/>
    </w:rPr>
  </w:style>
  <w:style w:type="table" w:styleId="a7">
    <w:name w:val="Table Grid"/>
    <w:basedOn w:val="a1"/>
    <w:uiPriority w:val="59"/>
    <w:qFormat/>
    <w:rsid w:val="000B4ACB"/>
    <w:rPr>
      <w:rFonts w:ascii="Times New Roman" w:eastAsia="宋体" w:hAnsi="Times New Roman"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05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845</Words>
  <Characters>4823</Characters>
  <Application>Microsoft Office Word</Application>
  <DocSecurity>0</DocSecurity>
  <Lines>40</Lines>
  <Paragraphs>11</Paragraphs>
  <ScaleCrop>false</ScaleCrop>
  <Company>Microsoft</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延 李</dc:creator>
  <cp:lastModifiedBy>NTKO</cp:lastModifiedBy>
  <cp:revision>6</cp:revision>
  <dcterms:created xsi:type="dcterms:W3CDTF">2018-11-06T09:08:00Z</dcterms:created>
  <dcterms:modified xsi:type="dcterms:W3CDTF">2018-11-07T02:33:00Z</dcterms:modified>
</cp:coreProperties>
</file>