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B37B6A" w:rsidRDefault="001938A0" w:rsidP="00B37B6A">
      <w:pPr>
        <w:spacing w:line="360" w:lineRule="auto"/>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项目名称：</w:t>
      </w:r>
      <w:r w:rsidR="000634BF" w:rsidRPr="00B37B6A">
        <w:rPr>
          <w:rFonts w:ascii="仿宋_GB2312" w:eastAsia="仿宋_GB2312" w:hAnsi="仿宋_GB2312" w:cs="仿宋_GB2312" w:hint="eastAsia"/>
          <w:sz w:val="28"/>
          <w:szCs w:val="28"/>
        </w:rPr>
        <w:t>先进控制方法的理论分析及应用</w:t>
      </w:r>
    </w:p>
    <w:p w:rsidR="001938A0" w:rsidRPr="00B37B6A" w:rsidRDefault="001938A0" w:rsidP="00B37B6A">
      <w:pPr>
        <w:spacing w:line="360" w:lineRule="auto"/>
        <w:ind w:left="1400" w:hangingChars="500" w:hanging="1400"/>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完成单位：</w:t>
      </w:r>
      <w:r w:rsidR="000634BF" w:rsidRPr="00B37B6A">
        <w:rPr>
          <w:rFonts w:ascii="仿宋_GB2312" w:eastAsia="仿宋_GB2312" w:hAnsi="仿宋_GB2312" w:cs="仿宋_GB2312" w:hint="eastAsia"/>
          <w:sz w:val="28"/>
          <w:szCs w:val="28"/>
        </w:rPr>
        <w:t>陕西师范大学，中国科学院数学与系统科学研究院</w:t>
      </w:r>
      <w:r w:rsidR="007E720E" w:rsidRPr="00B37B6A">
        <w:rPr>
          <w:rFonts w:ascii="仿宋_GB2312" w:eastAsia="仿宋_GB2312" w:hAnsi="仿宋_GB2312" w:cs="仿宋_GB2312" w:hint="eastAsia"/>
          <w:sz w:val="28"/>
          <w:szCs w:val="28"/>
        </w:rPr>
        <w:t>，</w:t>
      </w:r>
      <w:r w:rsidR="007E720E" w:rsidRPr="00B37B6A">
        <w:rPr>
          <w:rFonts w:ascii="仿宋_GB2312" w:eastAsia="仿宋_GB2312" w:hAnsi="仿宋_GB2312" w:cs="仿宋_GB2312"/>
          <w:sz w:val="28"/>
          <w:szCs w:val="28"/>
        </w:rPr>
        <w:t>中国科学技术大学</w:t>
      </w:r>
    </w:p>
    <w:p w:rsidR="001938A0" w:rsidRPr="00B37B6A" w:rsidRDefault="001938A0" w:rsidP="00B37B6A">
      <w:pPr>
        <w:spacing w:line="360" w:lineRule="auto"/>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完成人：</w:t>
      </w:r>
      <w:r w:rsidR="000634BF" w:rsidRPr="00B37B6A">
        <w:rPr>
          <w:rFonts w:ascii="仿宋_GB2312" w:eastAsia="仿宋_GB2312" w:hAnsi="仿宋_GB2312" w:cs="仿宋_GB2312" w:hint="eastAsia"/>
          <w:sz w:val="28"/>
          <w:szCs w:val="28"/>
        </w:rPr>
        <w:t>赵志良，郭宝珠，梁菊花，唐三一</w:t>
      </w:r>
    </w:p>
    <w:p w:rsidR="00B37B6A" w:rsidRPr="00B37B6A" w:rsidRDefault="001938A0" w:rsidP="00B37B6A">
      <w:pPr>
        <w:spacing w:line="360" w:lineRule="auto"/>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项目简介：</w:t>
      </w:r>
    </w:p>
    <w:p w:rsidR="001938A0" w:rsidRPr="00B37B6A" w:rsidRDefault="000634BF" w:rsidP="00B37B6A">
      <w:pPr>
        <w:spacing w:line="360" w:lineRule="auto"/>
        <w:ind w:firstLineChars="200" w:firstLine="560"/>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本项目的主要工作集中在两个方面， 一是自抗扰控制技术的理论分析及应用，二是</w:t>
      </w:r>
      <w:r w:rsidR="00C12F23" w:rsidRPr="00B37B6A">
        <w:rPr>
          <w:rFonts w:ascii="仿宋_GB2312" w:eastAsia="仿宋_GB2312" w:hAnsi="仿宋_GB2312" w:cs="仿宋_GB2312" w:hint="eastAsia"/>
          <w:sz w:val="28"/>
          <w:szCs w:val="28"/>
        </w:rPr>
        <w:t>具有抗药性发展下的害虫综合控制研究</w:t>
      </w:r>
      <w:r w:rsidRPr="00B37B6A">
        <w:rPr>
          <w:rFonts w:ascii="仿宋_GB2312" w:eastAsia="仿宋_GB2312" w:hAnsi="仿宋_GB2312" w:cs="仿宋_GB2312" w:hint="eastAsia"/>
          <w:sz w:val="28"/>
          <w:szCs w:val="28"/>
        </w:rPr>
        <w:t>。</w:t>
      </w:r>
    </w:p>
    <w:p w:rsidR="000634BF" w:rsidRPr="00B37B6A" w:rsidRDefault="000634BF" w:rsidP="00B37B6A">
      <w:pPr>
        <w:spacing w:line="360" w:lineRule="auto"/>
        <w:ind w:firstLine="638"/>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自抗扰控制是</w:t>
      </w:r>
      <w:r w:rsidR="00033A7F" w:rsidRPr="00B37B6A">
        <w:rPr>
          <w:rFonts w:ascii="仿宋_GB2312" w:eastAsia="仿宋_GB2312" w:hAnsi="仿宋_GB2312" w:cs="仿宋_GB2312" w:hint="eastAsia"/>
          <w:sz w:val="28"/>
          <w:szCs w:val="28"/>
        </w:rPr>
        <w:t>中国科学院数学与系统科学研究院韩京清研究员在上世纪80年代末90年代初提出的新型控制技术。近年来自抗扰控制已经展现出巨大的应用潜力，国际著名芯片制造商德州仪器(Texas Instruments)、飞思卡尔半导体(Freescale Semiconductor)等跨国公司在其新型控制芯片中已经采用了自抗扰技术。本项目第一方面的主要工作是解决了自抗扰控制三个关键环节的基本理论问题。</w:t>
      </w:r>
    </w:p>
    <w:p w:rsidR="00C12F23" w:rsidRPr="00B37B6A" w:rsidRDefault="00033A7F" w:rsidP="00B37B6A">
      <w:pPr>
        <w:spacing w:line="360" w:lineRule="auto"/>
        <w:ind w:firstLine="638"/>
        <w:rPr>
          <w:rFonts w:ascii="仿宋_GB2312" w:eastAsia="仿宋_GB2312" w:hAnsi="仿宋_GB2312" w:cs="仿宋_GB2312"/>
          <w:sz w:val="28"/>
          <w:szCs w:val="28"/>
        </w:rPr>
      </w:pPr>
      <w:r w:rsidRPr="00B37B6A">
        <w:rPr>
          <w:rFonts w:ascii="仿宋_GB2312" w:eastAsia="仿宋_GB2312" w:hAnsi="仿宋_GB2312" w:cs="仿宋_GB2312" w:hint="eastAsia"/>
          <w:sz w:val="28"/>
          <w:szCs w:val="28"/>
        </w:rPr>
        <w:t>本项目第二方面的主要工作是</w:t>
      </w:r>
      <w:r w:rsidR="00C12F23" w:rsidRPr="00B37B6A">
        <w:rPr>
          <w:rFonts w:ascii="仿宋_GB2312" w:eastAsia="仿宋_GB2312" w:hAnsi="仿宋_GB2312" w:cs="仿宋_GB2312" w:hint="eastAsia"/>
          <w:sz w:val="28"/>
          <w:szCs w:val="28"/>
        </w:rPr>
        <w:t>关于害虫的抗药性发展对综合控制的影响，根据杀虫剂的使用强度及害虫种群增长规律对抗药性发展的影响建立了一般的连续抗药性发展方程,进而将此方程引入到害虫综合控制模型中,分析了以害虫经济、有效的控制为最终目标,并以切换杀虫剂作为应对抗药性发展的措施中,不同的切换策略下的最优换药时间及最优切换策略的存在性；以综合控制作为应对抗药性发展的措施中，研究了抗药性发展与天敌投放的平衡问题，给出了每次最优投放天敌密度。这些研究可为农业管理部门制定害虫控制策略提供理</w:t>
      </w:r>
      <w:r w:rsidR="00C12F23" w:rsidRPr="00B37B6A">
        <w:rPr>
          <w:rFonts w:ascii="仿宋_GB2312" w:eastAsia="仿宋_GB2312" w:hAnsi="仿宋_GB2312" w:cs="仿宋_GB2312" w:hint="eastAsia"/>
          <w:sz w:val="28"/>
          <w:szCs w:val="28"/>
        </w:rPr>
        <w:lastRenderedPageBreak/>
        <w:t>论依据。</w:t>
      </w:r>
    </w:p>
    <w:p w:rsidR="001938A0" w:rsidRPr="00B37B6A" w:rsidRDefault="001938A0" w:rsidP="000D1B5E">
      <w:pPr>
        <w:spacing w:line="360" w:lineRule="auto"/>
        <w:rPr>
          <w:rFonts w:ascii="仿宋_GB2312" w:eastAsia="仿宋_GB2312" w:hAnsi="仿宋_GB2312" w:cs="仿宋_GB2312"/>
          <w:sz w:val="28"/>
          <w:szCs w:val="28"/>
        </w:rPr>
      </w:pPr>
      <w:bookmarkStart w:id="0" w:name="_GoBack"/>
      <w:bookmarkEnd w:id="0"/>
      <w:r w:rsidRPr="00B37B6A">
        <w:rPr>
          <w:rFonts w:ascii="仿宋_GB2312" w:eastAsia="仿宋_GB2312" w:hAnsi="仿宋_GB2312" w:cs="仿宋_GB2312" w:hint="eastAsia"/>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17"/>
        <w:gridCol w:w="2835"/>
        <w:gridCol w:w="1701"/>
        <w:gridCol w:w="1985"/>
        <w:gridCol w:w="1701"/>
        <w:gridCol w:w="2126"/>
        <w:gridCol w:w="1134"/>
        <w:gridCol w:w="1276"/>
        <w:gridCol w:w="1240"/>
      </w:tblGrid>
      <w:tr w:rsidR="00DF41BA" w:rsidRPr="00B37B6A" w:rsidTr="00B37B6A">
        <w:trPr>
          <w:trHeight w:val="567"/>
          <w:jc w:val="center"/>
        </w:trPr>
        <w:tc>
          <w:tcPr>
            <w:tcW w:w="817"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序号</w:t>
            </w:r>
          </w:p>
        </w:tc>
        <w:tc>
          <w:tcPr>
            <w:tcW w:w="2835"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论文专著名称</w:t>
            </w:r>
          </w:p>
        </w:tc>
        <w:tc>
          <w:tcPr>
            <w:tcW w:w="1701"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刊名</w:t>
            </w:r>
          </w:p>
        </w:tc>
        <w:tc>
          <w:tcPr>
            <w:tcW w:w="1985"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第一</w:t>
            </w:r>
            <w:r w:rsidRPr="00B37B6A">
              <w:rPr>
                <w:rFonts w:ascii="宋体" w:hAnsi="宋体"/>
                <w:sz w:val="21"/>
                <w:szCs w:val="21"/>
              </w:rPr>
              <w:t>完成单位</w:t>
            </w:r>
          </w:p>
        </w:tc>
        <w:tc>
          <w:tcPr>
            <w:tcW w:w="1701"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作者</w:t>
            </w:r>
          </w:p>
        </w:tc>
        <w:tc>
          <w:tcPr>
            <w:tcW w:w="2126"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年卷页码</w:t>
            </w:r>
          </w:p>
        </w:tc>
        <w:tc>
          <w:tcPr>
            <w:tcW w:w="1134"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发表时间</w:t>
            </w:r>
          </w:p>
        </w:tc>
        <w:tc>
          <w:tcPr>
            <w:tcW w:w="1276"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通讯作者</w:t>
            </w:r>
          </w:p>
        </w:tc>
        <w:tc>
          <w:tcPr>
            <w:tcW w:w="1240" w:type="dxa"/>
            <w:vAlign w:val="center"/>
          </w:tcPr>
          <w:p w:rsidR="00DF41BA" w:rsidRPr="00B37B6A" w:rsidRDefault="00DF41B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第一作者</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1</w:t>
            </w:r>
          </w:p>
        </w:tc>
        <w:tc>
          <w:tcPr>
            <w:tcW w:w="2835" w:type="dxa"/>
            <w:vAlign w:val="center"/>
          </w:tcPr>
          <w:p w:rsidR="00DF41BA"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On convergence of the nonlinear active disturbance rejection control for MIMO systems</w:t>
            </w:r>
          </w:p>
        </w:tc>
        <w:tc>
          <w:tcPr>
            <w:tcW w:w="1701" w:type="dxa"/>
            <w:vAlign w:val="center"/>
          </w:tcPr>
          <w:p w:rsidR="00DF41BA"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SIAM Journal on Control and Optimization</w:t>
            </w:r>
          </w:p>
        </w:tc>
        <w:tc>
          <w:tcPr>
            <w:tcW w:w="1985" w:type="dxa"/>
            <w:vAlign w:val="center"/>
          </w:tcPr>
          <w:p w:rsidR="00DF41BA" w:rsidRPr="00B37B6A" w:rsidRDefault="00651755"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中国科学院数学与系统科学研究院</w:t>
            </w:r>
          </w:p>
        </w:tc>
        <w:tc>
          <w:tcPr>
            <w:tcW w:w="1701" w:type="dxa"/>
            <w:vAlign w:val="center"/>
          </w:tcPr>
          <w:p w:rsidR="00F24C49"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DF41BA"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2013年51卷</w:t>
            </w:r>
            <w:r w:rsidRPr="00B37B6A">
              <w:rPr>
                <w:rFonts w:ascii="宋体" w:hAnsi="宋体"/>
                <w:sz w:val="21"/>
                <w:szCs w:val="21"/>
              </w:rPr>
              <w:t>1727-1757</w:t>
            </w:r>
            <w:r w:rsidRPr="00B37B6A">
              <w:rPr>
                <w:rFonts w:ascii="宋体" w:hAnsi="宋体" w:hint="eastAsia"/>
                <w:sz w:val="21"/>
                <w:szCs w:val="21"/>
              </w:rPr>
              <w:t>页</w:t>
            </w:r>
          </w:p>
        </w:tc>
        <w:tc>
          <w:tcPr>
            <w:tcW w:w="1134" w:type="dxa"/>
            <w:vAlign w:val="center"/>
          </w:tcPr>
          <w:p w:rsidR="00DF41BA" w:rsidRPr="00B37B6A" w:rsidRDefault="00F24C49" w:rsidP="00F24C49">
            <w:pPr>
              <w:jc w:val="center"/>
              <w:rPr>
                <w:rFonts w:ascii="宋体" w:eastAsia="宋体" w:hAnsi="宋体"/>
                <w:szCs w:val="21"/>
              </w:rPr>
            </w:pPr>
            <w:r w:rsidRPr="00B37B6A">
              <w:rPr>
                <w:rFonts w:ascii="宋体" w:eastAsia="宋体" w:hAnsi="宋体" w:hint="eastAsia"/>
                <w:szCs w:val="21"/>
              </w:rPr>
              <w:t>2013年</w:t>
            </w:r>
          </w:p>
        </w:tc>
        <w:tc>
          <w:tcPr>
            <w:tcW w:w="1276" w:type="dxa"/>
            <w:vAlign w:val="center"/>
          </w:tcPr>
          <w:p w:rsidR="00DF41BA" w:rsidRPr="00B37B6A" w:rsidRDefault="00F24C49"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F24C49"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F24C49" w:rsidRPr="00B37B6A" w:rsidTr="00B37B6A">
        <w:trPr>
          <w:trHeight w:val="1610"/>
          <w:jc w:val="center"/>
        </w:trPr>
        <w:tc>
          <w:tcPr>
            <w:tcW w:w="817" w:type="dxa"/>
            <w:vAlign w:val="center"/>
          </w:tcPr>
          <w:p w:rsidR="00F24C49" w:rsidRPr="00B37B6A" w:rsidRDefault="00F24C49"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2</w:t>
            </w:r>
          </w:p>
        </w:tc>
        <w:tc>
          <w:tcPr>
            <w:tcW w:w="2835" w:type="dxa"/>
            <w:vAlign w:val="center"/>
          </w:tcPr>
          <w:p w:rsidR="00F24C49"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On the convergence of an extended state observer for nonlinear systems with uncertainty</w:t>
            </w:r>
          </w:p>
        </w:tc>
        <w:tc>
          <w:tcPr>
            <w:tcW w:w="1701" w:type="dxa"/>
            <w:vAlign w:val="center"/>
          </w:tcPr>
          <w:p w:rsidR="00F24C49"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Systems &amp; Control Letters</w:t>
            </w:r>
          </w:p>
        </w:tc>
        <w:tc>
          <w:tcPr>
            <w:tcW w:w="1985" w:type="dxa"/>
            <w:vAlign w:val="center"/>
          </w:tcPr>
          <w:p w:rsidR="00F24C49" w:rsidRPr="00B37B6A" w:rsidRDefault="00D62510"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中国科学技术大学</w:t>
            </w:r>
          </w:p>
        </w:tc>
        <w:tc>
          <w:tcPr>
            <w:tcW w:w="1701" w:type="dxa"/>
            <w:vAlign w:val="center"/>
          </w:tcPr>
          <w:p w:rsidR="00F24C49"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F24C49" w:rsidRPr="00B37B6A" w:rsidRDefault="00F24C49"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2011年</w:t>
            </w:r>
            <w:r w:rsidRPr="00B37B6A">
              <w:rPr>
                <w:rFonts w:ascii="宋体" w:hAnsi="宋体"/>
                <w:sz w:val="21"/>
                <w:szCs w:val="21"/>
              </w:rPr>
              <w:t xml:space="preserve">60 </w:t>
            </w:r>
            <w:r w:rsidRPr="00B37B6A">
              <w:rPr>
                <w:rFonts w:ascii="宋体" w:hAnsi="宋体" w:hint="eastAsia"/>
                <w:sz w:val="21"/>
                <w:szCs w:val="21"/>
              </w:rPr>
              <w:t>卷</w:t>
            </w:r>
            <w:r w:rsidRPr="00B37B6A">
              <w:rPr>
                <w:rFonts w:ascii="宋体" w:hAnsi="宋体"/>
                <w:sz w:val="21"/>
                <w:szCs w:val="21"/>
              </w:rPr>
              <w:t xml:space="preserve"> 420-430</w:t>
            </w:r>
            <w:r w:rsidRPr="00B37B6A">
              <w:rPr>
                <w:rFonts w:ascii="宋体" w:hAnsi="宋体" w:hint="eastAsia"/>
                <w:sz w:val="21"/>
                <w:szCs w:val="21"/>
              </w:rPr>
              <w:t>页</w:t>
            </w:r>
          </w:p>
        </w:tc>
        <w:tc>
          <w:tcPr>
            <w:tcW w:w="1134" w:type="dxa"/>
            <w:vAlign w:val="center"/>
          </w:tcPr>
          <w:p w:rsidR="00F24C49" w:rsidRPr="00B37B6A" w:rsidRDefault="00F24C49" w:rsidP="00F24C49">
            <w:pPr>
              <w:jc w:val="center"/>
              <w:rPr>
                <w:rFonts w:ascii="宋体" w:eastAsia="宋体" w:hAnsi="宋体"/>
                <w:szCs w:val="21"/>
              </w:rPr>
            </w:pPr>
            <w:r w:rsidRPr="00B37B6A">
              <w:rPr>
                <w:rFonts w:ascii="宋体" w:eastAsia="宋体" w:hAnsi="宋体" w:hint="eastAsia"/>
                <w:szCs w:val="21"/>
              </w:rPr>
              <w:t>2011年4月</w:t>
            </w:r>
          </w:p>
        </w:tc>
        <w:tc>
          <w:tcPr>
            <w:tcW w:w="1276" w:type="dxa"/>
            <w:vAlign w:val="center"/>
          </w:tcPr>
          <w:p w:rsidR="00F24C49" w:rsidRPr="00B37B6A" w:rsidRDefault="00F24C49"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c>
          <w:tcPr>
            <w:tcW w:w="1240" w:type="dxa"/>
            <w:vAlign w:val="center"/>
          </w:tcPr>
          <w:p w:rsidR="00F24C49" w:rsidRPr="00B37B6A" w:rsidRDefault="00F24C49"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3</w:t>
            </w:r>
          </w:p>
        </w:tc>
        <w:tc>
          <w:tcPr>
            <w:tcW w:w="2835" w:type="dxa"/>
            <w:vAlign w:val="center"/>
          </w:tcPr>
          <w:p w:rsidR="00DF41BA" w:rsidRPr="00B37B6A" w:rsidRDefault="007A7B80" w:rsidP="00B37B6A">
            <w:pPr>
              <w:jc w:val="left"/>
              <w:rPr>
                <w:rFonts w:ascii="宋体" w:eastAsia="宋体" w:hAnsi="宋体"/>
                <w:szCs w:val="21"/>
              </w:rPr>
            </w:pPr>
            <w:r w:rsidRPr="00B37B6A">
              <w:rPr>
                <w:rFonts w:ascii="宋体" w:eastAsia="宋体" w:hAnsi="宋体"/>
                <w:szCs w:val="21"/>
              </w:rPr>
              <w:t>On convergence of tracking differentiator</w:t>
            </w:r>
          </w:p>
        </w:tc>
        <w:tc>
          <w:tcPr>
            <w:tcW w:w="1701" w:type="dxa"/>
            <w:vAlign w:val="center"/>
          </w:tcPr>
          <w:p w:rsidR="00DF41BA" w:rsidRPr="00B37B6A" w:rsidRDefault="007A7B80"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 xml:space="preserve">International Journal of Control </w:t>
            </w:r>
          </w:p>
        </w:tc>
        <w:tc>
          <w:tcPr>
            <w:tcW w:w="1985" w:type="dxa"/>
            <w:vAlign w:val="center"/>
          </w:tcPr>
          <w:p w:rsidR="00DF41BA" w:rsidRPr="00B37B6A" w:rsidRDefault="00D62510"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中国科学院数学与系统科学研究院</w:t>
            </w:r>
          </w:p>
        </w:tc>
        <w:tc>
          <w:tcPr>
            <w:tcW w:w="1701" w:type="dxa"/>
            <w:vAlign w:val="center"/>
          </w:tcPr>
          <w:p w:rsidR="00DF41B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DF41BA" w:rsidRPr="00B37B6A" w:rsidRDefault="007A7B80"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2011 年</w:t>
            </w:r>
            <w:r w:rsidRPr="00B37B6A">
              <w:rPr>
                <w:rFonts w:ascii="宋体" w:hAnsi="宋体"/>
                <w:sz w:val="21"/>
                <w:szCs w:val="21"/>
              </w:rPr>
              <w:t>84</w:t>
            </w:r>
            <w:r w:rsidRPr="00B37B6A">
              <w:rPr>
                <w:rFonts w:ascii="宋体" w:hAnsi="宋体" w:hint="eastAsia"/>
                <w:sz w:val="21"/>
                <w:szCs w:val="21"/>
              </w:rPr>
              <w:t>卷</w:t>
            </w:r>
            <w:r w:rsidRPr="00B37B6A">
              <w:rPr>
                <w:rFonts w:ascii="宋体" w:hAnsi="宋体"/>
                <w:sz w:val="21"/>
                <w:szCs w:val="21"/>
              </w:rPr>
              <w:t>693-701</w:t>
            </w:r>
            <w:r w:rsidRPr="00B37B6A">
              <w:rPr>
                <w:rFonts w:ascii="宋体" w:hAnsi="宋体" w:hint="eastAsia"/>
                <w:sz w:val="21"/>
                <w:szCs w:val="21"/>
              </w:rPr>
              <w:t>页</w:t>
            </w:r>
          </w:p>
        </w:tc>
        <w:tc>
          <w:tcPr>
            <w:tcW w:w="1134" w:type="dxa"/>
            <w:vAlign w:val="center"/>
          </w:tcPr>
          <w:p w:rsidR="00DF41BA" w:rsidRPr="00B37B6A" w:rsidRDefault="007A7B80" w:rsidP="00F24C49">
            <w:pPr>
              <w:jc w:val="center"/>
              <w:rPr>
                <w:rFonts w:ascii="宋体" w:eastAsia="宋体" w:hAnsi="宋体"/>
                <w:szCs w:val="21"/>
              </w:rPr>
            </w:pPr>
            <w:r w:rsidRPr="00B37B6A">
              <w:rPr>
                <w:rFonts w:ascii="宋体" w:eastAsia="宋体" w:hAnsi="宋体" w:hint="eastAsia"/>
                <w:szCs w:val="21"/>
              </w:rPr>
              <w:t>2011年</w:t>
            </w:r>
          </w:p>
        </w:tc>
        <w:tc>
          <w:tcPr>
            <w:tcW w:w="1276" w:type="dxa"/>
            <w:vAlign w:val="center"/>
          </w:tcPr>
          <w:p w:rsidR="00DF41BA" w:rsidRPr="00B37B6A" w:rsidRDefault="007A7B80"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7A7B80"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4</w:t>
            </w:r>
          </w:p>
        </w:tc>
        <w:tc>
          <w:tcPr>
            <w:tcW w:w="2835" w:type="dxa"/>
            <w:vAlign w:val="center"/>
          </w:tcPr>
          <w:p w:rsidR="007A7B80" w:rsidRPr="00B37B6A" w:rsidRDefault="007A7B80" w:rsidP="00B37B6A">
            <w:pPr>
              <w:jc w:val="left"/>
              <w:rPr>
                <w:rFonts w:ascii="宋体" w:eastAsia="宋体" w:hAnsi="宋体"/>
                <w:szCs w:val="21"/>
              </w:rPr>
            </w:pPr>
            <w:r w:rsidRPr="00B37B6A">
              <w:rPr>
                <w:rFonts w:ascii="宋体" w:eastAsia="宋体" w:hAnsi="宋体"/>
                <w:szCs w:val="21"/>
              </w:rPr>
              <w:t>On active disturbance rejection control for nonlinear systems using time-varying gain</w:t>
            </w:r>
          </w:p>
          <w:p w:rsidR="00DF41BA" w:rsidRPr="00B37B6A" w:rsidRDefault="00DF41BA" w:rsidP="00B37B6A">
            <w:pPr>
              <w:jc w:val="left"/>
              <w:rPr>
                <w:rFonts w:ascii="宋体" w:eastAsia="宋体" w:hAnsi="宋体"/>
                <w:szCs w:val="21"/>
              </w:rPr>
            </w:pPr>
          </w:p>
        </w:tc>
        <w:tc>
          <w:tcPr>
            <w:tcW w:w="1701" w:type="dxa"/>
            <w:vAlign w:val="center"/>
          </w:tcPr>
          <w:p w:rsidR="00DF41BA" w:rsidRPr="00B37B6A" w:rsidRDefault="007A7B80"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European Journal of Control</w:t>
            </w:r>
          </w:p>
        </w:tc>
        <w:tc>
          <w:tcPr>
            <w:tcW w:w="1985" w:type="dxa"/>
            <w:vAlign w:val="center"/>
          </w:tcPr>
          <w:p w:rsidR="00DF41BA" w:rsidRPr="00B37B6A" w:rsidRDefault="007A7B80"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7A7B80"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 郭宝珠</w:t>
            </w:r>
          </w:p>
        </w:tc>
        <w:tc>
          <w:tcPr>
            <w:tcW w:w="2126" w:type="dxa"/>
            <w:vAlign w:val="center"/>
          </w:tcPr>
          <w:p w:rsidR="00DF41BA" w:rsidRPr="00B37B6A" w:rsidRDefault="007A7B80"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2015年</w:t>
            </w:r>
            <w:r w:rsidRPr="00B37B6A">
              <w:rPr>
                <w:rFonts w:ascii="宋体" w:hAnsi="宋体"/>
                <w:sz w:val="21"/>
                <w:szCs w:val="21"/>
              </w:rPr>
              <w:t>23</w:t>
            </w:r>
            <w:r w:rsidRPr="00B37B6A">
              <w:rPr>
                <w:rFonts w:ascii="宋体" w:hAnsi="宋体" w:hint="eastAsia"/>
                <w:sz w:val="21"/>
                <w:szCs w:val="21"/>
              </w:rPr>
              <w:t>卷</w:t>
            </w:r>
            <w:r w:rsidRPr="00B37B6A">
              <w:rPr>
                <w:rFonts w:ascii="宋体" w:hAnsi="宋体"/>
                <w:sz w:val="21"/>
                <w:szCs w:val="21"/>
              </w:rPr>
              <w:t xml:space="preserve"> 62-70</w:t>
            </w:r>
            <w:r w:rsidRPr="00B37B6A">
              <w:rPr>
                <w:rFonts w:ascii="宋体" w:hAnsi="宋体" w:hint="eastAsia"/>
                <w:sz w:val="21"/>
                <w:szCs w:val="21"/>
              </w:rPr>
              <w:t>页</w:t>
            </w:r>
          </w:p>
        </w:tc>
        <w:tc>
          <w:tcPr>
            <w:tcW w:w="1134" w:type="dxa"/>
            <w:vAlign w:val="center"/>
          </w:tcPr>
          <w:p w:rsidR="00DF41BA" w:rsidRPr="00B37B6A" w:rsidRDefault="007A7B80" w:rsidP="00F24C49">
            <w:pPr>
              <w:jc w:val="center"/>
              <w:rPr>
                <w:rFonts w:ascii="宋体" w:eastAsia="宋体" w:hAnsi="宋体"/>
                <w:szCs w:val="21"/>
              </w:rPr>
            </w:pPr>
            <w:r w:rsidRPr="00B37B6A">
              <w:rPr>
                <w:rFonts w:ascii="宋体" w:eastAsia="宋体" w:hAnsi="宋体" w:hint="eastAsia"/>
                <w:szCs w:val="21"/>
              </w:rPr>
              <w:t>2015年</w:t>
            </w:r>
          </w:p>
        </w:tc>
        <w:tc>
          <w:tcPr>
            <w:tcW w:w="1276" w:type="dxa"/>
            <w:vAlign w:val="center"/>
          </w:tcPr>
          <w:p w:rsidR="00DF41BA" w:rsidRPr="00B37B6A" w:rsidRDefault="007A7B80"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c>
          <w:tcPr>
            <w:tcW w:w="1240" w:type="dxa"/>
            <w:vAlign w:val="center"/>
          </w:tcPr>
          <w:p w:rsidR="00DF41BA" w:rsidRPr="00B37B6A" w:rsidRDefault="007A7B80"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lastRenderedPageBreak/>
              <w:t>5</w:t>
            </w:r>
          </w:p>
        </w:tc>
        <w:tc>
          <w:tcPr>
            <w:tcW w:w="2835" w:type="dxa"/>
            <w:vAlign w:val="center"/>
          </w:tcPr>
          <w:p w:rsidR="00DF41BA" w:rsidRPr="00B37B6A" w:rsidRDefault="001A0674" w:rsidP="00B37B6A">
            <w:pPr>
              <w:jc w:val="left"/>
              <w:rPr>
                <w:rFonts w:ascii="宋体" w:eastAsia="宋体" w:hAnsi="宋体"/>
                <w:szCs w:val="21"/>
              </w:rPr>
            </w:pPr>
            <w:r w:rsidRPr="00B37B6A">
              <w:rPr>
                <w:rFonts w:ascii="宋体" w:eastAsia="宋体" w:hAnsi="宋体"/>
                <w:szCs w:val="21"/>
              </w:rPr>
              <w:t xml:space="preserve">Active disturbance rejection control approach to stabilization of lower triangular systems with uncertainty </w:t>
            </w:r>
          </w:p>
        </w:tc>
        <w:tc>
          <w:tcPr>
            <w:tcW w:w="1701"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International Journal of Robust and Nonlinear Control,</w:t>
            </w:r>
          </w:p>
        </w:tc>
        <w:tc>
          <w:tcPr>
            <w:tcW w:w="1985" w:type="dxa"/>
            <w:vAlign w:val="center"/>
          </w:tcPr>
          <w:p w:rsidR="00DF41BA" w:rsidRPr="00B37B6A" w:rsidRDefault="001A0674"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1A0674"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 郭宝珠</w:t>
            </w:r>
          </w:p>
          <w:p w:rsidR="001A0674" w:rsidRPr="00B37B6A" w:rsidRDefault="001A0674" w:rsidP="00B37B6A">
            <w:pPr>
              <w:pStyle w:val="a6"/>
              <w:adjustRightInd w:val="0"/>
              <w:spacing w:after="50" w:line="240" w:lineRule="auto"/>
              <w:ind w:firstLineChars="0" w:firstLine="0"/>
              <w:jc w:val="center"/>
              <w:outlineLvl w:val="1"/>
              <w:rPr>
                <w:rFonts w:ascii="宋体" w:hAnsi="宋体"/>
                <w:sz w:val="21"/>
                <w:szCs w:val="21"/>
              </w:rPr>
            </w:pPr>
          </w:p>
        </w:tc>
        <w:tc>
          <w:tcPr>
            <w:tcW w:w="2126"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2016</w:t>
            </w:r>
            <w:r w:rsidRPr="00B37B6A">
              <w:rPr>
                <w:rFonts w:ascii="宋体" w:hAnsi="宋体" w:hint="eastAsia"/>
                <w:sz w:val="21"/>
                <w:szCs w:val="21"/>
              </w:rPr>
              <w:t>年</w:t>
            </w:r>
            <w:r w:rsidRPr="00B37B6A">
              <w:rPr>
                <w:rFonts w:ascii="宋体" w:hAnsi="宋体"/>
                <w:sz w:val="21"/>
                <w:szCs w:val="21"/>
              </w:rPr>
              <w:t xml:space="preserve"> 26</w:t>
            </w:r>
            <w:r w:rsidRPr="00B37B6A">
              <w:rPr>
                <w:rFonts w:ascii="宋体" w:hAnsi="宋体" w:hint="eastAsia"/>
                <w:sz w:val="21"/>
                <w:szCs w:val="21"/>
              </w:rPr>
              <w:t>卷</w:t>
            </w:r>
            <w:r w:rsidRPr="00B37B6A">
              <w:rPr>
                <w:rFonts w:ascii="宋体" w:hAnsi="宋体"/>
                <w:sz w:val="21"/>
                <w:szCs w:val="21"/>
              </w:rPr>
              <w:t>2314-2337</w:t>
            </w:r>
            <w:r w:rsidRPr="00B37B6A">
              <w:rPr>
                <w:rFonts w:ascii="宋体" w:hAnsi="宋体" w:hint="eastAsia"/>
                <w:sz w:val="21"/>
                <w:szCs w:val="21"/>
              </w:rPr>
              <w:t>页</w:t>
            </w:r>
          </w:p>
        </w:tc>
        <w:tc>
          <w:tcPr>
            <w:tcW w:w="1134" w:type="dxa"/>
            <w:vAlign w:val="center"/>
          </w:tcPr>
          <w:p w:rsidR="00DF41BA" w:rsidRPr="00B37B6A" w:rsidRDefault="001A0674" w:rsidP="00F24C49">
            <w:pPr>
              <w:jc w:val="center"/>
              <w:rPr>
                <w:rFonts w:ascii="宋体" w:eastAsia="宋体" w:hAnsi="宋体"/>
                <w:szCs w:val="21"/>
              </w:rPr>
            </w:pPr>
            <w:r w:rsidRPr="00B37B6A">
              <w:rPr>
                <w:rFonts w:ascii="宋体" w:eastAsia="宋体" w:hAnsi="宋体" w:hint="eastAsia"/>
                <w:szCs w:val="21"/>
              </w:rPr>
              <w:t>2016年</w:t>
            </w:r>
          </w:p>
        </w:tc>
        <w:tc>
          <w:tcPr>
            <w:tcW w:w="1276" w:type="dxa"/>
            <w:vAlign w:val="center"/>
          </w:tcPr>
          <w:p w:rsidR="001A0674" w:rsidRPr="00B37B6A" w:rsidRDefault="001A0674"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 xml:space="preserve">郭宝珠 </w:t>
            </w:r>
          </w:p>
          <w:p w:rsidR="00DF41BA" w:rsidRPr="00B37B6A" w:rsidRDefault="001A0674"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1A0674"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6</w:t>
            </w:r>
          </w:p>
        </w:tc>
        <w:tc>
          <w:tcPr>
            <w:tcW w:w="2835" w:type="dxa"/>
            <w:vAlign w:val="center"/>
          </w:tcPr>
          <w:p w:rsidR="00DF41BA" w:rsidRPr="00B37B6A" w:rsidRDefault="001A0674" w:rsidP="00B37B6A">
            <w:pPr>
              <w:jc w:val="left"/>
              <w:rPr>
                <w:rFonts w:ascii="宋体" w:eastAsia="宋体" w:hAnsi="宋体"/>
                <w:szCs w:val="21"/>
              </w:rPr>
            </w:pPr>
            <w:r w:rsidRPr="00B37B6A">
              <w:rPr>
                <w:rFonts w:ascii="宋体" w:eastAsia="宋体" w:hAnsi="宋体"/>
                <w:szCs w:val="21"/>
              </w:rPr>
              <w:t>Extended state observer for uncertain lower triangular nonlinear systems</w:t>
            </w:r>
          </w:p>
        </w:tc>
        <w:tc>
          <w:tcPr>
            <w:tcW w:w="1701"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Systems &amp; Control Letters</w:t>
            </w:r>
          </w:p>
        </w:tc>
        <w:tc>
          <w:tcPr>
            <w:tcW w:w="1985" w:type="dxa"/>
            <w:vAlign w:val="center"/>
          </w:tcPr>
          <w:p w:rsidR="00DF41BA" w:rsidRPr="00B37B6A" w:rsidRDefault="001A0674"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DF41BA" w:rsidRPr="00B37B6A" w:rsidRDefault="0005614C" w:rsidP="00B37B6A">
            <w:pPr>
              <w:pStyle w:val="a6"/>
              <w:adjustRightInd w:val="0"/>
              <w:spacing w:after="50"/>
              <w:ind w:firstLineChars="0" w:firstLine="0"/>
              <w:jc w:val="center"/>
              <w:outlineLvl w:val="1"/>
              <w:rPr>
                <w:rFonts w:ascii="宋体" w:hAnsi="宋体"/>
                <w:sz w:val="21"/>
                <w:szCs w:val="21"/>
              </w:rPr>
            </w:pPr>
            <w:r w:rsidRPr="00B37B6A">
              <w:rPr>
                <w:rFonts w:ascii="宋体" w:hAnsi="宋体" w:hint="eastAsia"/>
                <w:sz w:val="21"/>
                <w:szCs w:val="21"/>
              </w:rPr>
              <w:t>赵志良 郭宝珠</w:t>
            </w:r>
          </w:p>
        </w:tc>
        <w:tc>
          <w:tcPr>
            <w:tcW w:w="2126"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2015</w:t>
            </w:r>
            <w:r w:rsidRPr="00B37B6A">
              <w:rPr>
                <w:rFonts w:ascii="宋体" w:hAnsi="宋体" w:hint="eastAsia"/>
                <w:sz w:val="21"/>
                <w:szCs w:val="21"/>
              </w:rPr>
              <w:t>年</w:t>
            </w:r>
            <w:r w:rsidRPr="00B37B6A">
              <w:rPr>
                <w:rFonts w:ascii="宋体" w:hAnsi="宋体"/>
                <w:sz w:val="21"/>
                <w:szCs w:val="21"/>
              </w:rPr>
              <w:t>85</w:t>
            </w:r>
            <w:r w:rsidRPr="00B37B6A">
              <w:rPr>
                <w:rFonts w:ascii="宋体" w:hAnsi="宋体" w:hint="eastAsia"/>
                <w:sz w:val="21"/>
                <w:szCs w:val="21"/>
              </w:rPr>
              <w:t>卷</w:t>
            </w:r>
            <w:r w:rsidRPr="00B37B6A">
              <w:rPr>
                <w:rFonts w:ascii="宋体" w:hAnsi="宋体"/>
                <w:sz w:val="21"/>
                <w:szCs w:val="21"/>
              </w:rPr>
              <w:t>100 – 108</w:t>
            </w:r>
            <w:r w:rsidRPr="00B37B6A">
              <w:rPr>
                <w:rFonts w:ascii="宋体" w:hAnsi="宋体" w:hint="eastAsia"/>
                <w:sz w:val="21"/>
                <w:szCs w:val="21"/>
              </w:rPr>
              <w:t>页</w:t>
            </w:r>
          </w:p>
        </w:tc>
        <w:tc>
          <w:tcPr>
            <w:tcW w:w="1134" w:type="dxa"/>
            <w:vAlign w:val="center"/>
          </w:tcPr>
          <w:p w:rsidR="00DF41BA" w:rsidRPr="00B37B6A" w:rsidRDefault="001A0674" w:rsidP="00F24C49">
            <w:pPr>
              <w:jc w:val="center"/>
              <w:rPr>
                <w:rFonts w:ascii="宋体" w:eastAsia="宋体" w:hAnsi="宋体"/>
                <w:szCs w:val="21"/>
              </w:rPr>
            </w:pPr>
            <w:r w:rsidRPr="00B37B6A">
              <w:rPr>
                <w:rFonts w:ascii="宋体" w:eastAsia="宋体" w:hAnsi="宋体" w:hint="eastAsia"/>
                <w:szCs w:val="21"/>
              </w:rPr>
              <w:t>2015年</w:t>
            </w:r>
          </w:p>
        </w:tc>
        <w:tc>
          <w:tcPr>
            <w:tcW w:w="1276" w:type="dxa"/>
            <w:vAlign w:val="center"/>
          </w:tcPr>
          <w:p w:rsidR="001A0674" w:rsidRPr="00B37B6A" w:rsidRDefault="001A0674" w:rsidP="001A0674">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c>
          <w:tcPr>
            <w:tcW w:w="1240" w:type="dxa"/>
            <w:vAlign w:val="center"/>
          </w:tcPr>
          <w:p w:rsidR="00DF41BA" w:rsidRPr="00B37B6A" w:rsidRDefault="001A0674"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7</w:t>
            </w:r>
          </w:p>
        </w:tc>
        <w:tc>
          <w:tcPr>
            <w:tcW w:w="2835" w:type="dxa"/>
            <w:vAlign w:val="center"/>
          </w:tcPr>
          <w:p w:rsidR="00DF41BA" w:rsidRPr="00B37B6A" w:rsidRDefault="001A0674" w:rsidP="00B37B6A">
            <w:pPr>
              <w:jc w:val="left"/>
              <w:rPr>
                <w:rFonts w:ascii="宋体" w:eastAsia="宋体" w:hAnsi="宋体"/>
                <w:szCs w:val="21"/>
              </w:rPr>
            </w:pPr>
            <w:r w:rsidRPr="00B37B6A">
              <w:rPr>
                <w:rFonts w:ascii="宋体" w:eastAsia="宋体" w:hAnsi="宋体"/>
                <w:szCs w:val="21"/>
              </w:rPr>
              <w:t>On Convergence of Nonlinear Active Disturbance Rejection Control for SISO Nonlinear Systems Springe</w:t>
            </w:r>
            <w:r w:rsidRPr="00B37B6A">
              <w:rPr>
                <w:rFonts w:ascii="宋体" w:eastAsia="宋体" w:hAnsi="宋体" w:hint="eastAsia"/>
                <w:szCs w:val="21"/>
              </w:rPr>
              <w:t>r</w:t>
            </w:r>
          </w:p>
        </w:tc>
        <w:tc>
          <w:tcPr>
            <w:tcW w:w="1701"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Journal of Dynamical and Control Systems</w:t>
            </w:r>
          </w:p>
        </w:tc>
        <w:tc>
          <w:tcPr>
            <w:tcW w:w="1985" w:type="dxa"/>
            <w:vAlign w:val="center"/>
          </w:tcPr>
          <w:p w:rsidR="00DF41BA" w:rsidRPr="00B37B6A" w:rsidRDefault="001A0674"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DF41B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 郭宝珠</w:t>
            </w:r>
          </w:p>
        </w:tc>
        <w:tc>
          <w:tcPr>
            <w:tcW w:w="2126" w:type="dxa"/>
            <w:vAlign w:val="center"/>
          </w:tcPr>
          <w:p w:rsidR="00DF41BA" w:rsidRPr="00B37B6A" w:rsidRDefault="001A0674"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2016</w:t>
            </w:r>
            <w:r w:rsidRPr="00B37B6A">
              <w:rPr>
                <w:rFonts w:ascii="宋体" w:hAnsi="宋体" w:hint="eastAsia"/>
                <w:sz w:val="21"/>
                <w:szCs w:val="21"/>
              </w:rPr>
              <w:t>年</w:t>
            </w:r>
            <w:r w:rsidRPr="00B37B6A">
              <w:rPr>
                <w:rFonts w:ascii="宋体" w:hAnsi="宋体"/>
                <w:sz w:val="21"/>
                <w:szCs w:val="21"/>
              </w:rPr>
              <w:t>22</w:t>
            </w:r>
            <w:r w:rsidRPr="00B37B6A">
              <w:rPr>
                <w:rFonts w:ascii="宋体" w:hAnsi="宋体" w:hint="eastAsia"/>
                <w:sz w:val="21"/>
                <w:szCs w:val="21"/>
              </w:rPr>
              <w:t>卷</w:t>
            </w:r>
            <w:r w:rsidRPr="00B37B6A">
              <w:rPr>
                <w:rFonts w:ascii="宋体" w:hAnsi="宋体"/>
                <w:sz w:val="21"/>
                <w:szCs w:val="21"/>
              </w:rPr>
              <w:t xml:space="preserve"> 385-412</w:t>
            </w:r>
            <w:r w:rsidRPr="00B37B6A">
              <w:rPr>
                <w:rFonts w:ascii="宋体" w:hAnsi="宋体" w:hint="eastAsia"/>
                <w:sz w:val="21"/>
                <w:szCs w:val="21"/>
              </w:rPr>
              <w:t>页</w:t>
            </w:r>
          </w:p>
        </w:tc>
        <w:tc>
          <w:tcPr>
            <w:tcW w:w="1134" w:type="dxa"/>
            <w:vAlign w:val="center"/>
          </w:tcPr>
          <w:p w:rsidR="00DF41BA" w:rsidRPr="00B37B6A" w:rsidRDefault="001A0674" w:rsidP="00F24C49">
            <w:pPr>
              <w:jc w:val="center"/>
              <w:rPr>
                <w:rFonts w:ascii="宋体" w:eastAsia="宋体" w:hAnsi="宋体"/>
                <w:szCs w:val="21"/>
              </w:rPr>
            </w:pPr>
            <w:r w:rsidRPr="00B37B6A">
              <w:rPr>
                <w:rFonts w:ascii="宋体" w:eastAsia="宋体" w:hAnsi="宋体" w:hint="eastAsia"/>
                <w:szCs w:val="21"/>
              </w:rPr>
              <w:t>2016年</w:t>
            </w:r>
          </w:p>
        </w:tc>
        <w:tc>
          <w:tcPr>
            <w:tcW w:w="1276" w:type="dxa"/>
            <w:vAlign w:val="center"/>
          </w:tcPr>
          <w:p w:rsidR="00DF41BA" w:rsidRPr="00B37B6A" w:rsidRDefault="00547B2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c>
          <w:tcPr>
            <w:tcW w:w="1240" w:type="dxa"/>
            <w:vAlign w:val="center"/>
          </w:tcPr>
          <w:p w:rsidR="00DF41BA" w:rsidRPr="00B37B6A" w:rsidRDefault="00547B2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8</w:t>
            </w:r>
          </w:p>
        </w:tc>
        <w:tc>
          <w:tcPr>
            <w:tcW w:w="2835" w:type="dxa"/>
            <w:vAlign w:val="center"/>
          </w:tcPr>
          <w:p w:rsidR="00DF41BA" w:rsidRPr="00B37B6A" w:rsidRDefault="00234F93" w:rsidP="00B37B6A">
            <w:pPr>
              <w:jc w:val="left"/>
              <w:rPr>
                <w:rFonts w:ascii="宋体" w:eastAsia="宋体" w:hAnsi="宋体"/>
                <w:szCs w:val="21"/>
              </w:rPr>
            </w:pPr>
            <w:r w:rsidRPr="00B37B6A">
              <w:rPr>
                <w:rFonts w:ascii="宋体" w:eastAsia="宋体" w:hAnsi="宋体"/>
                <w:szCs w:val="21"/>
              </w:rPr>
              <w:t>Active Disturbance Rejection Control for Nonlinear Systems: An Introduction</w:t>
            </w:r>
          </w:p>
        </w:tc>
        <w:tc>
          <w:tcPr>
            <w:tcW w:w="1701" w:type="dxa"/>
            <w:vAlign w:val="center"/>
          </w:tcPr>
          <w:p w:rsidR="00DF41BA" w:rsidRPr="00B37B6A" w:rsidRDefault="00234F9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John Wiley &amp; Sons, 2016</w:t>
            </w:r>
          </w:p>
        </w:tc>
        <w:tc>
          <w:tcPr>
            <w:tcW w:w="1985" w:type="dxa"/>
            <w:vAlign w:val="center"/>
          </w:tcPr>
          <w:p w:rsidR="00DF41BA" w:rsidRPr="00B37B6A" w:rsidRDefault="00234F93"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中国科学院数学与系统科学研究院</w:t>
            </w:r>
          </w:p>
        </w:tc>
        <w:tc>
          <w:tcPr>
            <w:tcW w:w="1701" w:type="dxa"/>
            <w:vAlign w:val="center"/>
          </w:tcPr>
          <w:p w:rsidR="00DF41B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DF41BA" w:rsidRPr="00B37B6A" w:rsidRDefault="00234F9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2016年1-365页</w:t>
            </w:r>
          </w:p>
        </w:tc>
        <w:tc>
          <w:tcPr>
            <w:tcW w:w="1134" w:type="dxa"/>
            <w:vAlign w:val="center"/>
          </w:tcPr>
          <w:p w:rsidR="00DF41BA" w:rsidRPr="00B37B6A" w:rsidRDefault="00234F93" w:rsidP="00F24C49">
            <w:pPr>
              <w:jc w:val="center"/>
              <w:rPr>
                <w:rFonts w:ascii="宋体" w:eastAsia="宋体" w:hAnsi="宋体"/>
                <w:szCs w:val="21"/>
              </w:rPr>
            </w:pPr>
            <w:r w:rsidRPr="00B37B6A">
              <w:rPr>
                <w:rFonts w:ascii="宋体" w:eastAsia="宋体" w:hAnsi="宋体" w:hint="eastAsia"/>
                <w:szCs w:val="21"/>
              </w:rPr>
              <w:t>2016年</w:t>
            </w:r>
          </w:p>
        </w:tc>
        <w:tc>
          <w:tcPr>
            <w:tcW w:w="1276" w:type="dxa"/>
            <w:vAlign w:val="center"/>
          </w:tcPr>
          <w:p w:rsidR="00234F93" w:rsidRPr="00B37B6A" w:rsidRDefault="00234F93" w:rsidP="00234F93">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234F9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sz w:val="21"/>
                <w:szCs w:val="21"/>
              </w:rPr>
              <w:t>9</w:t>
            </w:r>
          </w:p>
        </w:tc>
        <w:tc>
          <w:tcPr>
            <w:tcW w:w="2835" w:type="dxa"/>
            <w:vAlign w:val="center"/>
          </w:tcPr>
          <w:p w:rsidR="00DF41BA" w:rsidRPr="00B37B6A" w:rsidRDefault="00234F93" w:rsidP="00B37B6A">
            <w:pPr>
              <w:jc w:val="left"/>
              <w:rPr>
                <w:rFonts w:ascii="宋体" w:eastAsia="宋体" w:hAnsi="宋体"/>
                <w:szCs w:val="21"/>
              </w:rPr>
            </w:pPr>
            <w:r w:rsidRPr="00B37B6A">
              <w:rPr>
                <w:rFonts w:ascii="宋体" w:eastAsia="宋体" w:hAnsi="宋体"/>
                <w:szCs w:val="21"/>
              </w:rPr>
              <w:t>Active disturbance rejection control: Theoretical perspectives</w:t>
            </w:r>
          </w:p>
        </w:tc>
        <w:tc>
          <w:tcPr>
            <w:tcW w:w="1701" w:type="dxa"/>
            <w:vAlign w:val="center"/>
          </w:tcPr>
          <w:p w:rsidR="00DF41BA" w:rsidRPr="00B37B6A" w:rsidRDefault="00234F9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Communications in Information and Systems</w:t>
            </w:r>
          </w:p>
        </w:tc>
        <w:tc>
          <w:tcPr>
            <w:tcW w:w="1985" w:type="dxa"/>
            <w:vAlign w:val="center"/>
          </w:tcPr>
          <w:p w:rsidR="00DF41BA" w:rsidRPr="00B37B6A" w:rsidRDefault="00234F93"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中国科学院数学与系统科学研究院</w:t>
            </w:r>
          </w:p>
        </w:tc>
        <w:tc>
          <w:tcPr>
            <w:tcW w:w="1701" w:type="dxa"/>
            <w:vAlign w:val="center"/>
          </w:tcPr>
          <w:p w:rsidR="00DF41B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DF41BA" w:rsidRPr="00B37B6A" w:rsidRDefault="00234F9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2015</w:t>
            </w:r>
            <w:r w:rsidRPr="00B37B6A">
              <w:rPr>
                <w:rFonts w:ascii="宋体" w:hAnsi="宋体" w:hint="eastAsia"/>
                <w:sz w:val="21"/>
                <w:szCs w:val="21"/>
              </w:rPr>
              <w:t>年</w:t>
            </w:r>
            <w:r w:rsidRPr="00B37B6A">
              <w:rPr>
                <w:rFonts w:ascii="宋体" w:hAnsi="宋体"/>
                <w:sz w:val="21"/>
                <w:szCs w:val="21"/>
              </w:rPr>
              <w:t>15</w:t>
            </w:r>
            <w:r w:rsidRPr="00B37B6A">
              <w:rPr>
                <w:rFonts w:ascii="宋体" w:hAnsi="宋体" w:hint="eastAsia"/>
                <w:sz w:val="21"/>
                <w:szCs w:val="21"/>
              </w:rPr>
              <w:t>卷</w:t>
            </w:r>
            <w:r w:rsidRPr="00B37B6A">
              <w:rPr>
                <w:rFonts w:ascii="宋体" w:hAnsi="宋体"/>
                <w:sz w:val="21"/>
                <w:szCs w:val="21"/>
              </w:rPr>
              <w:t>361-421</w:t>
            </w:r>
            <w:r w:rsidRPr="00B37B6A">
              <w:rPr>
                <w:rFonts w:ascii="宋体" w:hAnsi="宋体" w:hint="eastAsia"/>
                <w:sz w:val="21"/>
                <w:szCs w:val="21"/>
              </w:rPr>
              <w:t>页</w:t>
            </w:r>
          </w:p>
        </w:tc>
        <w:tc>
          <w:tcPr>
            <w:tcW w:w="1134" w:type="dxa"/>
            <w:vAlign w:val="center"/>
          </w:tcPr>
          <w:p w:rsidR="00DF41BA" w:rsidRPr="00B37B6A" w:rsidRDefault="00234F93" w:rsidP="00F24C49">
            <w:pPr>
              <w:jc w:val="center"/>
              <w:rPr>
                <w:rFonts w:ascii="宋体" w:eastAsia="宋体" w:hAnsi="宋体"/>
                <w:szCs w:val="21"/>
              </w:rPr>
            </w:pPr>
            <w:r w:rsidRPr="00B37B6A">
              <w:rPr>
                <w:rFonts w:ascii="宋体" w:eastAsia="宋体" w:hAnsi="宋体" w:hint="eastAsia"/>
                <w:szCs w:val="21"/>
              </w:rPr>
              <w:t>2015年</w:t>
            </w:r>
          </w:p>
        </w:tc>
        <w:tc>
          <w:tcPr>
            <w:tcW w:w="1276" w:type="dxa"/>
            <w:vAlign w:val="center"/>
          </w:tcPr>
          <w:p w:rsidR="00DF41BA" w:rsidRPr="00B37B6A" w:rsidRDefault="00234F9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234F9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DF41BA" w:rsidRPr="00B37B6A" w:rsidTr="00B37B6A">
        <w:trPr>
          <w:trHeight w:val="1610"/>
          <w:jc w:val="center"/>
        </w:trPr>
        <w:tc>
          <w:tcPr>
            <w:tcW w:w="817" w:type="dxa"/>
            <w:vAlign w:val="center"/>
          </w:tcPr>
          <w:p w:rsidR="00DF41BA" w:rsidRPr="00B37B6A" w:rsidRDefault="00DF41B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sz w:val="21"/>
                <w:szCs w:val="21"/>
              </w:rPr>
              <w:lastRenderedPageBreak/>
              <w:t>10</w:t>
            </w:r>
          </w:p>
        </w:tc>
        <w:tc>
          <w:tcPr>
            <w:tcW w:w="2835" w:type="dxa"/>
            <w:vAlign w:val="center"/>
          </w:tcPr>
          <w:p w:rsidR="00461C4A" w:rsidRPr="00B37B6A" w:rsidRDefault="00461C4A" w:rsidP="00B37B6A">
            <w:pPr>
              <w:jc w:val="left"/>
              <w:rPr>
                <w:rFonts w:ascii="宋体" w:eastAsia="宋体" w:hAnsi="宋体"/>
                <w:szCs w:val="21"/>
              </w:rPr>
            </w:pPr>
            <w:r w:rsidRPr="00B37B6A">
              <w:rPr>
                <w:rFonts w:ascii="宋体" w:eastAsia="宋体" w:hAnsi="宋体"/>
                <w:szCs w:val="21"/>
              </w:rPr>
              <w:t>Weak convergence of nonlinear high-gain tracking differentiator</w:t>
            </w:r>
          </w:p>
          <w:p w:rsidR="00DF41BA" w:rsidRPr="00B37B6A" w:rsidRDefault="00DF41BA" w:rsidP="00B37B6A">
            <w:pPr>
              <w:jc w:val="left"/>
              <w:rPr>
                <w:rFonts w:ascii="宋体" w:eastAsia="宋体" w:hAnsi="宋体"/>
                <w:szCs w:val="21"/>
              </w:rPr>
            </w:pPr>
          </w:p>
        </w:tc>
        <w:tc>
          <w:tcPr>
            <w:tcW w:w="1701" w:type="dxa"/>
            <w:vAlign w:val="center"/>
          </w:tcPr>
          <w:p w:rsidR="00DF41BA" w:rsidRPr="00B37B6A" w:rsidRDefault="00461C4A"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IEEE Transactions on Automatic Contro</w:t>
            </w:r>
            <w:r w:rsidRPr="00B37B6A">
              <w:rPr>
                <w:rFonts w:ascii="宋体" w:hAnsi="宋体" w:hint="eastAsia"/>
                <w:sz w:val="21"/>
                <w:szCs w:val="21"/>
              </w:rPr>
              <w:t>l</w:t>
            </w:r>
          </w:p>
        </w:tc>
        <w:tc>
          <w:tcPr>
            <w:tcW w:w="1985" w:type="dxa"/>
            <w:vAlign w:val="center"/>
          </w:tcPr>
          <w:p w:rsidR="00DF41BA" w:rsidRPr="00B37B6A" w:rsidRDefault="000C6D74"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中国科学院数学与系统科学研究院</w:t>
            </w:r>
          </w:p>
        </w:tc>
        <w:tc>
          <w:tcPr>
            <w:tcW w:w="1701" w:type="dxa"/>
            <w:vAlign w:val="center"/>
          </w:tcPr>
          <w:p w:rsidR="00DF41B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DF41BA" w:rsidRPr="00B37B6A" w:rsidRDefault="00461C4A"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2013年</w:t>
            </w:r>
            <w:r w:rsidRPr="00B37B6A">
              <w:rPr>
                <w:rFonts w:ascii="宋体" w:hAnsi="宋体"/>
                <w:sz w:val="21"/>
                <w:szCs w:val="21"/>
              </w:rPr>
              <w:t>58</w:t>
            </w:r>
            <w:r w:rsidRPr="00B37B6A">
              <w:rPr>
                <w:rFonts w:ascii="宋体" w:hAnsi="宋体" w:hint="eastAsia"/>
                <w:sz w:val="21"/>
                <w:szCs w:val="21"/>
              </w:rPr>
              <w:t>卷</w:t>
            </w:r>
            <w:r w:rsidRPr="00B37B6A">
              <w:rPr>
                <w:rFonts w:ascii="宋体" w:hAnsi="宋体"/>
                <w:sz w:val="21"/>
                <w:szCs w:val="21"/>
              </w:rPr>
              <w:t xml:space="preserve"> 1074-1080</w:t>
            </w:r>
            <w:r w:rsidRPr="00B37B6A">
              <w:rPr>
                <w:rFonts w:ascii="宋体" w:hAnsi="宋体" w:hint="eastAsia"/>
                <w:sz w:val="21"/>
                <w:szCs w:val="21"/>
              </w:rPr>
              <w:t>页</w:t>
            </w:r>
          </w:p>
        </w:tc>
        <w:tc>
          <w:tcPr>
            <w:tcW w:w="1134" w:type="dxa"/>
            <w:vAlign w:val="center"/>
          </w:tcPr>
          <w:p w:rsidR="00DF41BA" w:rsidRPr="00B37B6A" w:rsidRDefault="00461C4A" w:rsidP="00F24C49">
            <w:pPr>
              <w:jc w:val="center"/>
              <w:rPr>
                <w:rFonts w:ascii="宋体" w:eastAsia="宋体" w:hAnsi="宋体"/>
                <w:szCs w:val="21"/>
              </w:rPr>
            </w:pPr>
            <w:r w:rsidRPr="00B37B6A">
              <w:rPr>
                <w:rFonts w:ascii="宋体" w:eastAsia="宋体" w:hAnsi="宋体" w:hint="eastAsia"/>
                <w:szCs w:val="21"/>
              </w:rPr>
              <w:t>2013年</w:t>
            </w:r>
          </w:p>
        </w:tc>
        <w:tc>
          <w:tcPr>
            <w:tcW w:w="1276" w:type="dxa"/>
            <w:vAlign w:val="center"/>
          </w:tcPr>
          <w:p w:rsidR="00DF41BA" w:rsidRPr="00B37B6A" w:rsidRDefault="00DF41BA" w:rsidP="00F24C49">
            <w:pPr>
              <w:pStyle w:val="a6"/>
              <w:adjustRightInd w:val="0"/>
              <w:spacing w:after="50" w:line="240" w:lineRule="auto"/>
              <w:ind w:firstLineChars="0" w:firstLine="0"/>
              <w:jc w:val="center"/>
              <w:outlineLvl w:val="1"/>
              <w:rPr>
                <w:rFonts w:ascii="宋体" w:hAnsi="宋体"/>
                <w:sz w:val="21"/>
                <w:szCs w:val="21"/>
              </w:rPr>
            </w:pPr>
          </w:p>
        </w:tc>
        <w:tc>
          <w:tcPr>
            <w:tcW w:w="1240" w:type="dxa"/>
            <w:vAlign w:val="center"/>
          </w:tcPr>
          <w:p w:rsidR="00DF41BA" w:rsidRPr="00B37B6A" w:rsidRDefault="00461C4A"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7C4713" w:rsidRPr="00B37B6A" w:rsidTr="00B37B6A">
        <w:trPr>
          <w:trHeight w:val="1610"/>
          <w:jc w:val="center"/>
        </w:trPr>
        <w:tc>
          <w:tcPr>
            <w:tcW w:w="817" w:type="dxa"/>
            <w:vAlign w:val="center"/>
          </w:tcPr>
          <w:p w:rsidR="007C4713" w:rsidRPr="00B37B6A" w:rsidRDefault="007C4713"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11</w:t>
            </w:r>
          </w:p>
        </w:tc>
        <w:tc>
          <w:tcPr>
            <w:tcW w:w="2835" w:type="dxa"/>
            <w:vAlign w:val="center"/>
          </w:tcPr>
          <w:p w:rsidR="007C4713" w:rsidRPr="00B37B6A" w:rsidRDefault="007C4713" w:rsidP="00B37B6A">
            <w:pPr>
              <w:jc w:val="left"/>
              <w:rPr>
                <w:rFonts w:ascii="宋体" w:eastAsia="宋体" w:hAnsi="宋体"/>
                <w:szCs w:val="21"/>
              </w:rPr>
            </w:pPr>
            <w:r w:rsidRPr="00B37B6A">
              <w:rPr>
                <w:rFonts w:ascii="宋体" w:eastAsia="宋体" w:hAnsi="宋体"/>
                <w:szCs w:val="21"/>
              </w:rPr>
              <w:t>On convergence of non-linear extended state observer for multi-input multi-output systems with uncertainty</w:t>
            </w:r>
          </w:p>
        </w:tc>
        <w:tc>
          <w:tcPr>
            <w:tcW w:w="1701" w:type="dxa"/>
            <w:vAlign w:val="center"/>
          </w:tcPr>
          <w:p w:rsidR="007C4713" w:rsidRPr="00B37B6A" w:rsidRDefault="007C471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IET Control Theory &amp; Applications</w:t>
            </w:r>
          </w:p>
        </w:tc>
        <w:tc>
          <w:tcPr>
            <w:tcW w:w="1985" w:type="dxa"/>
            <w:vAlign w:val="center"/>
          </w:tcPr>
          <w:p w:rsidR="007C4713" w:rsidRPr="00B37B6A" w:rsidRDefault="007C4713"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中国科学技术大学</w:t>
            </w:r>
          </w:p>
        </w:tc>
        <w:tc>
          <w:tcPr>
            <w:tcW w:w="1701" w:type="dxa"/>
            <w:vAlign w:val="center"/>
          </w:tcPr>
          <w:p w:rsidR="007C4713"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 赵志良</w:t>
            </w:r>
          </w:p>
        </w:tc>
        <w:tc>
          <w:tcPr>
            <w:tcW w:w="2126" w:type="dxa"/>
            <w:vAlign w:val="center"/>
          </w:tcPr>
          <w:p w:rsidR="007C4713" w:rsidRPr="00B37B6A" w:rsidRDefault="007C471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 xml:space="preserve"> IET, 2012, 6, 2375-2386</w:t>
            </w:r>
          </w:p>
        </w:tc>
        <w:tc>
          <w:tcPr>
            <w:tcW w:w="1134" w:type="dxa"/>
            <w:vAlign w:val="center"/>
          </w:tcPr>
          <w:p w:rsidR="007C4713" w:rsidRPr="00B37B6A" w:rsidRDefault="007C4713" w:rsidP="00F24C49">
            <w:pPr>
              <w:jc w:val="center"/>
              <w:rPr>
                <w:rFonts w:ascii="宋体" w:eastAsia="宋体" w:hAnsi="宋体"/>
                <w:szCs w:val="21"/>
              </w:rPr>
            </w:pPr>
            <w:r w:rsidRPr="00B37B6A">
              <w:rPr>
                <w:rFonts w:ascii="宋体" w:eastAsia="宋体" w:hAnsi="宋体" w:hint="eastAsia"/>
                <w:szCs w:val="21"/>
              </w:rPr>
              <w:t>2012</w:t>
            </w:r>
            <w:r w:rsidR="00B37B6A">
              <w:rPr>
                <w:rFonts w:ascii="宋体" w:eastAsia="宋体" w:hAnsi="宋体" w:hint="eastAsia"/>
                <w:szCs w:val="21"/>
              </w:rPr>
              <w:t>年</w:t>
            </w:r>
          </w:p>
        </w:tc>
        <w:tc>
          <w:tcPr>
            <w:tcW w:w="1276" w:type="dxa"/>
            <w:vAlign w:val="center"/>
          </w:tcPr>
          <w:p w:rsidR="007C4713" w:rsidRPr="00B37B6A" w:rsidRDefault="007C4713" w:rsidP="00F24C49">
            <w:pPr>
              <w:pStyle w:val="a6"/>
              <w:adjustRightInd w:val="0"/>
              <w:spacing w:after="50" w:line="240" w:lineRule="auto"/>
              <w:ind w:firstLineChars="0" w:firstLine="0"/>
              <w:jc w:val="center"/>
              <w:outlineLvl w:val="1"/>
              <w:rPr>
                <w:rFonts w:ascii="宋体" w:hAnsi="宋体"/>
                <w:sz w:val="21"/>
                <w:szCs w:val="21"/>
              </w:rPr>
            </w:pPr>
          </w:p>
        </w:tc>
        <w:tc>
          <w:tcPr>
            <w:tcW w:w="1240" w:type="dxa"/>
            <w:vAlign w:val="center"/>
          </w:tcPr>
          <w:p w:rsidR="007C4713" w:rsidRPr="00B37B6A" w:rsidRDefault="007C471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r>
      <w:tr w:rsidR="00DF41BA" w:rsidRPr="00B37B6A" w:rsidTr="00B37B6A">
        <w:trPr>
          <w:trHeight w:val="1610"/>
          <w:jc w:val="center"/>
        </w:trPr>
        <w:tc>
          <w:tcPr>
            <w:tcW w:w="817" w:type="dxa"/>
            <w:vAlign w:val="center"/>
          </w:tcPr>
          <w:p w:rsidR="00DF41BA" w:rsidRPr="00B37B6A" w:rsidRDefault="00461C4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1</w:t>
            </w:r>
            <w:r w:rsidR="007C4713" w:rsidRPr="00B37B6A">
              <w:rPr>
                <w:rFonts w:ascii="宋体" w:hAnsi="宋体" w:hint="eastAsia"/>
                <w:sz w:val="21"/>
                <w:szCs w:val="21"/>
              </w:rPr>
              <w:t>2</w:t>
            </w:r>
          </w:p>
        </w:tc>
        <w:tc>
          <w:tcPr>
            <w:tcW w:w="2835" w:type="dxa"/>
            <w:vAlign w:val="center"/>
          </w:tcPr>
          <w:p w:rsidR="00DF41BA" w:rsidRPr="00B37B6A" w:rsidRDefault="00461C4A" w:rsidP="00B37B6A">
            <w:pPr>
              <w:jc w:val="left"/>
              <w:rPr>
                <w:rFonts w:ascii="宋体" w:eastAsia="宋体" w:hAnsi="宋体"/>
                <w:szCs w:val="21"/>
              </w:rPr>
            </w:pPr>
            <w:r w:rsidRPr="00B37B6A">
              <w:rPr>
                <w:rFonts w:ascii="宋体" w:eastAsia="宋体" w:hAnsi="宋体" w:hint="eastAsia"/>
                <w:szCs w:val="21"/>
              </w:rPr>
              <w:t>自抗扰控制对具边界扰动和区间内反阻尼的波动方程的镇定</w:t>
            </w:r>
          </w:p>
        </w:tc>
        <w:tc>
          <w:tcPr>
            <w:tcW w:w="1701" w:type="dxa"/>
            <w:vAlign w:val="center"/>
          </w:tcPr>
          <w:p w:rsidR="00DF41BA" w:rsidRPr="00B37B6A" w:rsidRDefault="00461C4A"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控制理论与应用</w:t>
            </w:r>
          </w:p>
        </w:tc>
        <w:tc>
          <w:tcPr>
            <w:tcW w:w="1985" w:type="dxa"/>
            <w:vAlign w:val="center"/>
          </w:tcPr>
          <w:p w:rsidR="00DF41BA" w:rsidRPr="00B37B6A" w:rsidRDefault="00461C4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DF41BA" w:rsidRPr="00B37B6A" w:rsidRDefault="00461C4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p w:rsidR="00461C4A" w:rsidRPr="00B37B6A" w:rsidRDefault="00461C4A"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郭宝珠</w:t>
            </w:r>
          </w:p>
        </w:tc>
        <w:tc>
          <w:tcPr>
            <w:tcW w:w="2126" w:type="dxa"/>
            <w:vAlign w:val="center"/>
          </w:tcPr>
          <w:p w:rsidR="00DF41BA" w:rsidRPr="00B37B6A" w:rsidRDefault="00461C4A"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2013年30卷1553-1563页</w:t>
            </w:r>
          </w:p>
        </w:tc>
        <w:tc>
          <w:tcPr>
            <w:tcW w:w="1134" w:type="dxa"/>
            <w:vAlign w:val="center"/>
          </w:tcPr>
          <w:p w:rsidR="00DF41BA" w:rsidRPr="00B37B6A" w:rsidRDefault="00461C4A" w:rsidP="00F24C49">
            <w:pPr>
              <w:jc w:val="center"/>
              <w:rPr>
                <w:rFonts w:ascii="宋体" w:eastAsia="宋体" w:hAnsi="宋体"/>
                <w:szCs w:val="21"/>
              </w:rPr>
            </w:pPr>
            <w:r w:rsidRPr="00B37B6A">
              <w:rPr>
                <w:rFonts w:ascii="宋体" w:eastAsia="宋体" w:hAnsi="宋体" w:hint="eastAsia"/>
                <w:szCs w:val="21"/>
              </w:rPr>
              <w:t>2013年</w:t>
            </w:r>
          </w:p>
        </w:tc>
        <w:tc>
          <w:tcPr>
            <w:tcW w:w="1276" w:type="dxa"/>
            <w:vAlign w:val="center"/>
          </w:tcPr>
          <w:p w:rsidR="00DF41BA" w:rsidRPr="00B37B6A" w:rsidRDefault="00461C4A"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c>
          <w:tcPr>
            <w:tcW w:w="1240" w:type="dxa"/>
            <w:vAlign w:val="center"/>
          </w:tcPr>
          <w:p w:rsidR="00DF41BA" w:rsidRPr="00B37B6A" w:rsidRDefault="00461C4A"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赵志良</w:t>
            </w:r>
          </w:p>
        </w:tc>
      </w:tr>
      <w:tr w:rsidR="00461C4A" w:rsidRPr="00B37B6A" w:rsidTr="00B37B6A">
        <w:trPr>
          <w:trHeight w:val="1610"/>
          <w:jc w:val="center"/>
        </w:trPr>
        <w:tc>
          <w:tcPr>
            <w:tcW w:w="817" w:type="dxa"/>
            <w:vAlign w:val="center"/>
          </w:tcPr>
          <w:p w:rsidR="00461C4A" w:rsidRPr="00B37B6A" w:rsidRDefault="00461C4A"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1</w:t>
            </w:r>
            <w:r w:rsidR="007C4713" w:rsidRPr="00B37B6A">
              <w:rPr>
                <w:rFonts w:ascii="宋体" w:hAnsi="宋体" w:hint="eastAsia"/>
                <w:sz w:val="21"/>
                <w:szCs w:val="21"/>
              </w:rPr>
              <w:t>3</w:t>
            </w:r>
          </w:p>
        </w:tc>
        <w:tc>
          <w:tcPr>
            <w:tcW w:w="2835" w:type="dxa"/>
            <w:vAlign w:val="center"/>
          </w:tcPr>
          <w:p w:rsidR="00461C4A" w:rsidRPr="00B37B6A" w:rsidRDefault="007911EF" w:rsidP="00B37B6A">
            <w:pPr>
              <w:jc w:val="left"/>
              <w:rPr>
                <w:rFonts w:ascii="宋体" w:eastAsia="宋体" w:hAnsi="宋体"/>
                <w:szCs w:val="21"/>
              </w:rPr>
            </w:pPr>
            <w:r w:rsidRPr="00B37B6A">
              <w:rPr>
                <w:rFonts w:ascii="宋体" w:eastAsia="宋体" w:hAnsi="宋体"/>
                <w:szCs w:val="21"/>
              </w:rPr>
              <w:t>Pure Bt-crop and mixed seed sowing strategies for optimal economic profit in the face of pest resistance to pesticides and Bt-corn</w:t>
            </w:r>
          </w:p>
        </w:tc>
        <w:tc>
          <w:tcPr>
            <w:tcW w:w="1701" w:type="dxa"/>
            <w:vAlign w:val="center"/>
          </w:tcPr>
          <w:p w:rsidR="00461C4A" w:rsidRPr="00B37B6A" w:rsidRDefault="007911EF"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Applied Mathematics and Computation</w:t>
            </w:r>
          </w:p>
        </w:tc>
        <w:tc>
          <w:tcPr>
            <w:tcW w:w="1985" w:type="dxa"/>
            <w:vAlign w:val="center"/>
          </w:tcPr>
          <w:p w:rsidR="00461C4A" w:rsidRPr="00B37B6A" w:rsidRDefault="007911EF"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461C4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 唐三一</w:t>
            </w:r>
            <w:r w:rsidR="007911EF" w:rsidRPr="00B37B6A">
              <w:rPr>
                <w:rFonts w:ascii="宋体" w:hAnsi="宋体"/>
                <w:sz w:val="21"/>
                <w:szCs w:val="21"/>
              </w:rPr>
              <w:t xml:space="preserve"> Robert A. Cheke</w:t>
            </w:r>
          </w:p>
        </w:tc>
        <w:tc>
          <w:tcPr>
            <w:tcW w:w="2126" w:type="dxa"/>
            <w:vAlign w:val="center"/>
          </w:tcPr>
          <w:p w:rsidR="00461C4A" w:rsidRPr="00B37B6A" w:rsidRDefault="007911EF"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2016年</w:t>
            </w:r>
            <w:r w:rsidRPr="00B37B6A">
              <w:rPr>
                <w:rFonts w:ascii="宋体" w:hAnsi="宋体"/>
                <w:sz w:val="21"/>
                <w:szCs w:val="21"/>
              </w:rPr>
              <w:t xml:space="preserve"> 283</w:t>
            </w:r>
            <w:r w:rsidRPr="00B37B6A">
              <w:rPr>
                <w:rFonts w:ascii="宋体" w:hAnsi="宋体" w:hint="eastAsia"/>
                <w:sz w:val="21"/>
                <w:szCs w:val="21"/>
              </w:rPr>
              <w:t>卷</w:t>
            </w:r>
            <w:r w:rsidRPr="00B37B6A">
              <w:rPr>
                <w:rFonts w:ascii="宋体" w:hAnsi="宋体"/>
                <w:sz w:val="21"/>
                <w:szCs w:val="21"/>
              </w:rPr>
              <w:t>6-21</w:t>
            </w:r>
            <w:r w:rsidRPr="00B37B6A">
              <w:rPr>
                <w:rFonts w:ascii="宋体" w:hAnsi="宋体" w:hint="eastAsia"/>
                <w:sz w:val="21"/>
                <w:szCs w:val="21"/>
              </w:rPr>
              <w:t>页</w:t>
            </w:r>
          </w:p>
        </w:tc>
        <w:tc>
          <w:tcPr>
            <w:tcW w:w="1134" w:type="dxa"/>
            <w:vAlign w:val="center"/>
          </w:tcPr>
          <w:p w:rsidR="00461C4A" w:rsidRPr="00B37B6A" w:rsidRDefault="007911EF" w:rsidP="00F24C49">
            <w:pPr>
              <w:jc w:val="center"/>
              <w:rPr>
                <w:rFonts w:ascii="宋体" w:eastAsia="宋体" w:hAnsi="宋体"/>
                <w:szCs w:val="21"/>
              </w:rPr>
            </w:pPr>
            <w:r w:rsidRPr="00B37B6A">
              <w:rPr>
                <w:rFonts w:ascii="宋体" w:eastAsia="宋体" w:hAnsi="宋体" w:hint="eastAsia"/>
                <w:szCs w:val="21"/>
              </w:rPr>
              <w:t>2016年6月</w:t>
            </w:r>
          </w:p>
        </w:tc>
        <w:tc>
          <w:tcPr>
            <w:tcW w:w="1276" w:type="dxa"/>
            <w:vAlign w:val="center"/>
          </w:tcPr>
          <w:p w:rsidR="00461C4A" w:rsidRPr="00B37B6A" w:rsidRDefault="007911E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c>
          <w:tcPr>
            <w:tcW w:w="1240" w:type="dxa"/>
            <w:vAlign w:val="center"/>
          </w:tcPr>
          <w:p w:rsidR="00461C4A" w:rsidRPr="00B37B6A" w:rsidRDefault="007911E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r>
      <w:tr w:rsidR="00461C4A" w:rsidRPr="00B37B6A" w:rsidTr="00B37B6A">
        <w:trPr>
          <w:trHeight w:val="1610"/>
          <w:jc w:val="center"/>
        </w:trPr>
        <w:tc>
          <w:tcPr>
            <w:tcW w:w="817" w:type="dxa"/>
            <w:vAlign w:val="center"/>
          </w:tcPr>
          <w:p w:rsidR="00461C4A" w:rsidRPr="00B37B6A" w:rsidRDefault="007911EF"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lastRenderedPageBreak/>
              <w:t>14</w:t>
            </w:r>
          </w:p>
        </w:tc>
        <w:tc>
          <w:tcPr>
            <w:tcW w:w="2835" w:type="dxa"/>
            <w:vAlign w:val="center"/>
          </w:tcPr>
          <w:p w:rsidR="00461C4A" w:rsidRPr="00B37B6A" w:rsidRDefault="007911EF" w:rsidP="00B37B6A">
            <w:pPr>
              <w:jc w:val="left"/>
              <w:rPr>
                <w:rFonts w:ascii="宋体" w:eastAsia="宋体" w:hAnsi="宋体"/>
                <w:szCs w:val="21"/>
              </w:rPr>
            </w:pPr>
            <w:r w:rsidRPr="00B37B6A">
              <w:rPr>
                <w:rFonts w:ascii="宋体" w:eastAsia="宋体" w:hAnsi="宋体"/>
                <w:szCs w:val="21"/>
              </w:rPr>
              <w:t>Beverton–Holt discrete pest management models with pulsed chemical control and evolution of pesticide resistance</w:t>
            </w:r>
          </w:p>
        </w:tc>
        <w:tc>
          <w:tcPr>
            <w:tcW w:w="1701" w:type="dxa"/>
            <w:vAlign w:val="center"/>
          </w:tcPr>
          <w:p w:rsidR="00461C4A" w:rsidRPr="00B37B6A" w:rsidRDefault="007911EF"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Communications in Nonlinear Science and Numerical Simulation</w:t>
            </w:r>
          </w:p>
        </w:tc>
        <w:tc>
          <w:tcPr>
            <w:tcW w:w="1985" w:type="dxa"/>
            <w:vAlign w:val="center"/>
          </w:tcPr>
          <w:p w:rsidR="00461C4A" w:rsidRPr="00B37B6A" w:rsidRDefault="007911EF"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461C4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 唐三一</w:t>
            </w:r>
            <w:r w:rsidR="007911EF" w:rsidRPr="00B37B6A">
              <w:rPr>
                <w:rFonts w:ascii="宋体" w:hAnsi="宋体"/>
                <w:sz w:val="21"/>
                <w:szCs w:val="21"/>
              </w:rPr>
              <w:t xml:space="preserve"> Robert A. Cheke</w:t>
            </w:r>
          </w:p>
        </w:tc>
        <w:tc>
          <w:tcPr>
            <w:tcW w:w="2126" w:type="dxa"/>
            <w:vAlign w:val="center"/>
          </w:tcPr>
          <w:p w:rsidR="00461C4A" w:rsidRPr="00B37B6A" w:rsidRDefault="007911EF"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2016年</w:t>
            </w:r>
            <w:r w:rsidRPr="00B37B6A">
              <w:rPr>
                <w:rFonts w:ascii="宋体" w:hAnsi="宋体"/>
                <w:sz w:val="21"/>
                <w:szCs w:val="21"/>
              </w:rPr>
              <w:t>36</w:t>
            </w:r>
            <w:r w:rsidRPr="00B37B6A">
              <w:rPr>
                <w:rFonts w:ascii="宋体" w:hAnsi="宋体" w:hint="eastAsia"/>
                <w:sz w:val="21"/>
                <w:szCs w:val="21"/>
              </w:rPr>
              <w:t>卷</w:t>
            </w:r>
            <w:r w:rsidRPr="00B37B6A">
              <w:rPr>
                <w:rFonts w:ascii="宋体" w:hAnsi="宋体"/>
                <w:sz w:val="21"/>
                <w:szCs w:val="21"/>
              </w:rPr>
              <w:t>327-341</w:t>
            </w:r>
            <w:r w:rsidRPr="00B37B6A">
              <w:rPr>
                <w:rFonts w:ascii="宋体" w:hAnsi="宋体" w:hint="eastAsia"/>
                <w:sz w:val="21"/>
                <w:szCs w:val="21"/>
              </w:rPr>
              <w:t>页</w:t>
            </w:r>
          </w:p>
        </w:tc>
        <w:tc>
          <w:tcPr>
            <w:tcW w:w="1134" w:type="dxa"/>
            <w:vAlign w:val="center"/>
          </w:tcPr>
          <w:p w:rsidR="00461C4A" w:rsidRPr="00B37B6A" w:rsidRDefault="007911EF" w:rsidP="00F24C49">
            <w:pPr>
              <w:jc w:val="center"/>
              <w:rPr>
                <w:rFonts w:ascii="宋体" w:eastAsia="宋体" w:hAnsi="宋体"/>
                <w:szCs w:val="21"/>
              </w:rPr>
            </w:pPr>
            <w:r w:rsidRPr="00B37B6A">
              <w:rPr>
                <w:rFonts w:ascii="宋体" w:eastAsia="宋体" w:hAnsi="宋体" w:hint="eastAsia"/>
                <w:szCs w:val="21"/>
              </w:rPr>
              <w:t>2016年7月</w:t>
            </w:r>
          </w:p>
        </w:tc>
        <w:tc>
          <w:tcPr>
            <w:tcW w:w="1276" w:type="dxa"/>
            <w:vAlign w:val="center"/>
          </w:tcPr>
          <w:p w:rsidR="00461C4A" w:rsidRPr="00B37B6A" w:rsidRDefault="007911E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c>
          <w:tcPr>
            <w:tcW w:w="1240" w:type="dxa"/>
            <w:vAlign w:val="center"/>
          </w:tcPr>
          <w:p w:rsidR="00461C4A" w:rsidRPr="00B37B6A" w:rsidRDefault="007911EF"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r>
      <w:tr w:rsidR="00461C4A" w:rsidRPr="00B37B6A" w:rsidTr="00B37B6A">
        <w:trPr>
          <w:trHeight w:val="1610"/>
          <w:jc w:val="center"/>
        </w:trPr>
        <w:tc>
          <w:tcPr>
            <w:tcW w:w="817" w:type="dxa"/>
            <w:vAlign w:val="center"/>
          </w:tcPr>
          <w:p w:rsidR="00461C4A" w:rsidRPr="00B37B6A" w:rsidRDefault="007911EF" w:rsidP="00560E3B">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15</w:t>
            </w:r>
          </w:p>
          <w:p w:rsidR="00461C4A" w:rsidRPr="00B37B6A" w:rsidRDefault="00461C4A" w:rsidP="00461C4A">
            <w:pPr>
              <w:pStyle w:val="a6"/>
              <w:adjustRightInd w:val="0"/>
              <w:spacing w:after="50" w:line="240" w:lineRule="auto"/>
              <w:ind w:firstLineChars="0" w:firstLine="0"/>
              <w:outlineLvl w:val="1"/>
              <w:rPr>
                <w:rFonts w:ascii="宋体" w:hAnsi="宋体"/>
                <w:sz w:val="21"/>
                <w:szCs w:val="21"/>
              </w:rPr>
            </w:pPr>
          </w:p>
        </w:tc>
        <w:tc>
          <w:tcPr>
            <w:tcW w:w="2835" w:type="dxa"/>
            <w:vAlign w:val="center"/>
          </w:tcPr>
          <w:p w:rsidR="00461C4A" w:rsidRPr="00B37B6A" w:rsidRDefault="007911EF" w:rsidP="00B37B6A">
            <w:pPr>
              <w:jc w:val="left"/>
              <w:rPr>
                <w:rFonts w:ascii="宋体" w:eastAsia="宋体" w:hAnsi="宋体"/>
                <w:szCs w:val="21"/>
              </w:rPr>
            </w:pPr>
            <w:r w:rsidRPr="00B37B6A">
              <w:rPr>
                <w:rFonts w:ascii="宋体" w:eastAsia="宋体" w:hAnsi="宋体"/>
                <w:szCs w:val="21"/>
              </w:rPr>
              <w:t>Models for determining how many natural enemies to release inoculatively in combinations of biological and chemical control with pesticide resistance</w:t>
            </w:r>
          </w:p>
        </w:tc>
        <w:tc>
          <w:tcPr>
            <w:tcW w:w="1701" w:type="dxa"/>
            <w:vAlign w:val="center"/>
          </w:tcPr>
          <w:p w:rsidR="00461C4A" w:rsidRPr="00B37B6A" w:rsidRDefault="00C12F2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sz w:val="21"/>
                <w:szCs w:val="21"/>
              </w:rPr>
              <w:t>Journal of Mathematical Analysis and Applications</w:t>
            </w:r>
          </w:p>
        </w:tc>
        <w:tc>
          <w:tcPr>
            <w:tcW w:w="1985" w:type="dxa"/>
            <w:vAlign w:val="center"/>
          </w:tcPr>
          <w:p w:rsidR="00461C4A" w:rsidRPr="00B37B6A" w:rsidRDefault="00C12F23"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陕西师范大学</w:t>
            </w:r>
          </w:p>
        </w:tc>
        <w:tc>
          <w:tcPr>
            <w:tcW w:w="1701" w:type="dxa"/>
            <w:vAlign w:val="center"/>
          </w:tcPr>
          <w:p w:rsidR="00461C4A" w:rsidRPr="00B37B6A" w:rsidRDefault="0005614C" w:rsidP="00B37B6A">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 唐三一</w:t>
            </w:r>
            <w:r w:rsidR="00C12F23" w:rsidRPr="00B37B6A">
              <w:rPr>
                <w:rFonts w:ascii="宋体" w:hAnsi="宋体"/>
                <w:sz w:val="21"/>
                <w:szCs w:val="21"/>
              </w:rPr>
              <w:t>Robert A. Cheke Jianhong Wu</w:t>
            </w:r>
          </w:p>
        </w:tc>
        <w:tc>
          <w:tcPr>
            <w:tcW w:w="2126" w:type="dxa"/>
            <w:vAlign w:val="center"/>
          </w:tcPr>
          <w:p w:rsidR="00461C4A" w:rsidRPr="00B37B6A" w:rsidRDefault="00C12F23" w:rsidP="00B37B6A">
            <w:pPr>
              <w:pStyle w:val="a6"/>
              <w:adjustRightInd w:val="0"/>
              <w:spacing w:after="50" w:line="240" w:lineRule="auto"/>
              <w:ind w:firstLineChars="0" w:firstLine="0"/>
              <w:jc w:val="left"/>
              <w:outlineLvl w:val="1"/>
              <w:rPr>
                <w:rFonts w:ascii="宋体" w:hAnsi="宋体"/>
                <w:sz w:val="21"/>
                <w:szCs w:val="21"/>
              </w:rPr>
            </w:pPr>
            <w:r w:rsidRPr="00B37B6A">
              <w:rPr>
                <w:rFonts w:ascii="宋体" w:hAnsi="宋体" w:hint="eastAsia"/>
                <w:sz w:val="21"/>
                <w:szCs w:val="21"/>
              </w:rPr>
              <w:t>2015年</w:t>
            </w:r>
            <w:r w:rsidRPr="00B37B6A">
              <w:rPr>
                <w:rFonts w:ascii="宋体" w:hAnsi="宋体"/>
                <w:sz w:val="21"/>
                <w:szCs w:val="21"/>
              </w:rPr>
              <w:t>422</w:t>
            </w:r>
            <w:r w:rsidRPr="00B37B6A">
              <w:rPr>
                <w:rFonts w:ascii="宋体" w:hAnsi="宋体" w:hint="eastAsia"/>
                <w:sz w:val="21"/>
                <w:szCs w:val="21"/>
              </w:rPr>
              <w:t>卷</w:t>
            </w:r>
            <w:r w:rsidRPr="00B37B6A">
              <w:rPr>
                <w:rFonts w:ascii="宋体" w:hAnsi="宋体"/>
                <w:sz w:val="21"/>
                <w:szCs w:val="21"/>
              </w:rPr>
              <w:t xml:space="preserve"> 1479-1503</w:t>
            </w:r>
            <w:r w:rsidRPr="00B37B6A">
              <w:rPr>
                <w:rFonts w:ascii="宋体" w:hAnsi="宋体" w:hint="eastAsia"/>
                <w:sz w:val="21"/>
                <w:szCs w:val="21"/>
              </w:rPr>
              <w:t>页</w:t>
            </w:r>
          </w:p>
        </w:tc>
        <w:tc>
          <w:tcPr>
            <w:tcW w:w="1134" w:type="dxa"/>
            <w:vAlign w:val="center"/>
          </w:tcPr>
          <w:p w:rsidR="00461C4A" w:rsidRPr="00B37B6A" w:rsidRDefault="00C12F23" w:rsidP="00F24C49">
            <w:pPr>
              <w:jc w:val="center"/>
              <w:rPr>
                <w:rFonts w:ascii="宋体" w:eastAsia="宋体" w:hAnsi="宋体"/>
                <w:szCs w:val="21"/>
              </w:rPr>
            </w:pPr>
            <w:r w:rsidRPr="00B37B6A">
              <w:rPr>
                <w:rFonts w:ascii="宋体" w:eastAsia="宋体" w:hAnsi="宋体" w:hint="eastAsia"/>
                <w:szCs w:val="21"/>
              </w:rPr>
              <w:t>2015年2月</w:t>
            </w:r>
          </w:p>
        </w:tc>
        <w:tc>
          <w:tcPr>
            <w:tcW w:w="1276" w:type="dxa"/>
            <w:vAlign w:val="center"/>
          </w:tcPr>
          <w:p w:rsidR="00461C4A" w:rsidRPr="00B37B6A" w:rsidRDefault="00C12F2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c>
          <w:tcPr>
            <w:tcW w:w="1240" w:type="dxa"/>
            <w:vAlign w:val="center"/>
          </w:tcPr>
          <w:p w:rsidR="00461C4A" w:rsidRPr="00B37B6A" w:rsidRDefault="00C12F23" w:rsidP="00F24C49">
            <w:pPr>
              <w:pStyle w:val="a6"/>
              <w:adjustRightInd w:val="0"/>
              <w:spacing w:after="50" w:line="240" w:lineRule="auto"/>
              <w:ind w:firstLineChars="0" w:firstLine="0"/>
              <w:jc w:val="center"/>
              <w:outlineLvl w:val="1"/>
              <w:rPr>
                <w:rFonts w:ascii="宋体" w:hAnsi="宋体"/>
                <w:sz w:val="21"/>
                <w:szCs w:val="21"/>
              </w:rPr>
            </w:pPr>
            <w:r w:rsidRPr="00B37B6A">
              <w:rPr>
                <w:rFonts w:ascii="宋体" w:hAnsi="宋体" w:hint="eastAsia"/>
                <w:sz w:val="21"/>
                <w:szCs w:val="21"/>
              </w:rPr>
              <w:t>梁菊花</w:t>
            </w:r>
          </w:p>
        </w:tc>
      </w:tr>
    </w:tbl>
    <w:p w:rsidR="00A4766D" w:rsidRPr="00AD7942" w:rsidRDefault="00A4766D" w:rsidP="00B6678A">
      <w:pPr>
        <w:pStyle w:val="a6"/>
        <w:ind w:firstLineChars="0" w:firstLine="0"/>
        <w:jc w:val="center"/>
        <w:outlineLvl w:val="1"/>
      </w:pPr>
    </w:p>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03C" w:rsidRDefault="0017703C" w:rsidP="001938A0">
      <w:r>
        <w:separator/>
      </w:r>
    </w:p>
  </w:endnote>
  <w:endnote w:type="continuationSeparator" w:id="0">
    <w:p w:rsidR="0017703C" w:rsidRDefault="0017703C"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03C" w:rsidRDefault="0017703C" w:rsidP="001938A0">
      <w:r>
        <w:separator/>
      </w:r>
    </w:p>
  </w:footnote>
  <w:footnote w:type="continuationSeparator" w:id="0">
    <w:p w:rsidR="0017703C" w:rsidRDefault="0017703C"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3A7F"/>
    <w:rsid w:val="00036E40"/>
    <w:rsid w:val="0005614C"/>
    <w:rsid w:val="000634BF"/>
    <w:rsid w:val="000A25AF"/>
    <w:rsid w:val="000C6D74"/>
    <w:rsid w:val="000D1B5E"/>
    <w:rsid w:val="000D358C"/>
    <w:rsid w:val="00115BA1"/>
    <w:rsid w:val="0017703C"/>
    <w:rsid w:val="001938A0"/>
    <w:rsid w:val="001A0674"/>
    <w:rsid w:val="00205F09"/>
    <w:rsid w:val="00234F93"/>
    <w:rsid w:val="00264021"/>
    <w:rsid w:val="00270235"/>
    <w:rsid w:val="002A41A0"/>
    <w:rsid w:val="00301B88"/>
    <w:rsid w:val="00461C4A"/>
    <w:rsid w:val="00547B2F"/>
    <w:rsid w:val="005743A1"/>
    <w:rsid w:val="005A1EDE"/>
    <w:rsid w:val="005B41C6"/>
    <w:rsid w:val="00651755"/>
    <w:rsid w:val="00656306"/>
    <w:rsid w:val="0067692D"/>
    <w:rsid w:val="006A4037"/>
    <w:rsid w:val="006F47DD"/>
    <w:rsid w:val="007911EF"/>
    <w:rsid w:val="007A7B80"/>
    <w:rsid w:val="007C2DBA"/>
    <w:rsid w:val="007C4713"/>
    <w:rsid w:val="007E720E"/>
    <w:rsid w:val="00910285"/>
    <w:rsid w:val="0094635B"/>
    <w:rsid w:val="009569E9"/>
    <w:rsid w:val="00A4766D"/>
    <w:rsid w:val="00A56053"/>
    <w:rsid w:val="00A75B57"/>
    <w:rsid w:val="00A87E5E"/>
    <w:rsid w:val="00AD7942"/>
    <w:rsid w:val="00AE3D4A"/>
    <w:rsid w:val="00B0063F"/>
    <w:rsid w:val="00B361E3"/>
    <w:rsid w:val="00B3635A"/>
    <w:rsid w:val="00B37B6A"/>
    <w:rsid w:val="00B43A5A"/>
    <w:rsid w:val="00B6678A"/>
    <w:rsid w:val="00C12F23"/>
    <w:rsid w:val="00C958A8"/>
    <w:rsid w:val="00CC21F2"/>
    <w:rsid w:val="00CC4838"/>
    <w:rsid w:val="00D62510"/>
    <w:rsid w:val="00DA603B"/>
    <w:rsid w:val="00DF41BA"/>
    <w:rsid w:val="00DF5562"/>
    <w:rsid w:val="00E7322E"/>
    <w:rsid w:val="00E81EA1"/>
    <w:rsid w:val="00E8469F"/>
    <w:rsid w:val="00F24C49"/>
    <w:rsid w:val="00F53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F5FAC1-88D6-4E2A-A7CF-61ABABD0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6448">
      <w:bodyDiv w:val="1"/>
      <w:marLeft w:val="0"/>
      <w:marRight w:val="0"/>
      <w:marTop w:val="0"/>
      <w:marBottom w:val="0"/>
      <w:divBdr>
        <w:top w:val="none" w:sz="0" w:space="0" w:color="auto"/>
        <w:left w:val="none" w:sz="0" w:space="0" w:color="auto"/>
        <w:bottom w:val="none" w:sz="0" w:space="0" w:color="auto"/>
        <w:right w:val="none" w:sz="0" w:space="0" w:color="auto"/>
      </w:divBdr>
      <w:divsChild>
        <w:div w:id="1658265682">
          <w:marLeft w:val="0"/>
          <w:marRight w:val="0"/>
          <w:marTop w:val="0"/>
          <w:marBottom w:val="0"/>
          <w:divBdr>
            <w:top w:val="none" w:sz="0" w:space="0" w:color="auto"/>
            <w:left w:val="none" w:sz="0" w:space="0" w:color="auto"/>
            <w:bottom w:val="none" w:sz="0" w:space="0" w:color="auto"/>
            <w:right w:val="none" w:sz="0" w:space="0" w:color="auto"/>
          </w:divBdr>
          <w:divsChild>
            <w:div w:id="1575970896">
              <w:marLeft w:val="0"/>
              <w:marRight w:val="0"/>
              <w:marTop w:val="0"/>
              <w:marBottom w:val="0"/>
              <w:divBdr>
                <w:top w:val="none" w:sz="0" w:space="0" w:color="auto"/>
                <w:left w:val="none" w:sz="0" w:space="0" w:color="auto"/>
                <w:bottom w:val="none" w:sz="0" w:space="0" w:color="auto"/>
                <w:right w:val="none" w:sz="0" w:space="0" w:color="auto"/>
              </w:divBdr>
              <w:divsChild>
                <w:div w:id="899442574">
                  <w:marLeft w:val="0"/>
                  <w:marRight w:val="0"/>
                  <w:marTop w:val="0"/>
                  <w:marBottom w:val="0"/>
                  <w:divBdr>
                    <w:top w:val="none" w:sz="0" w:space="0" w:color="auto"/>
                    <w:left w:val="none" w:sz="0" w:space="0" w:color="auto"/>
                    <w:bottom w:val="none" w:sz="0" w:space="0" w:color="auto"/>
                    <w:right w:val="none" w:sz="0" w:space="0" w:color="auto"/>
                  </w:divBdr>
                  <w:divsChild>
                    <w:div w:id="1641837451">
                      <w:marLeft w:val="0"/>
                      <w:marRight w:val="0"/>
                      <w:marTop w:val="0"/>
                      <w:marBottom w:val="0"/>
                      <w:divBdr>
                        <w:top w:val="none" w:sz="0" w:space="0" w:color="auto"/>
                        <w:left w:val="none" w:sz="0" w:space="0" w:color="auto"/>
                        <w:bottom w:val="none" w:sz="0" w:space="0" w:color="auto"/>
                        <w:right w:val="none" w:sz="0" w:space="0" w:color="auto"/>
                      </w:divBdr>
                      <w:divsChild>
                        <w:div w:id="25913133">
                          <w:marLeft w:val="0"/>
                          <w:marRight w:val="5250"/>
                          <w:marTop w:val="0"/>
                          <w:marBottom w:val="0"/>
                          <w:divBdr>
                            <w:top w:val="none" w:sz="0" w:space="0" w:color="auto"/>
                            <w:left w:val="none" w:sz="0" w:space="0" w:color="auto"/>
                            <w:bottom w:val="none" w:sz="0" w:space="0" w:color="auto"/>
                            <w:right w:val="none" w:sz="0" w:space="0" w:color="auto"/>
                          </w:divBdr>
                          <w:divsChild>
                            <w:div w:id="1384402506">
                              <w:marLeft w:val="0"/>
                              <w:marRight w:val="0"/>
                              <w:marTop w:val="0"/>
                              <w:marBottom w:val="0"/>
                              <w:divBdr>
                                <w:top w:val="none" w:sz="0" w:space="0" w:color="auto"/>
                                <w:left w:val="none" w:sz="0" w:space="0" w:color="auto"/>
                                <w:bottom w:val="none" w:sz="0" w:space="0" w:color="auto"/>
                                <w:right w:val="none" w:sz="0" w:space="0" w:color="auto"/>
                              </w:divBdr>
                              <w:divsChild>
                                <w:div w:id="2046559668">
                                  <w:marLeft w:val="0"/>
                                  <w:marRight w:val="0"/>
                                  <w:marTop w:val="0"/>
                                  <w:marBottom w:val="0"/>
                                  <w:divBdr>
                                    <w:top w:val="none" w:sz="0" w:space="0" w:color="auto"/>
                                    <w:left w:val="none" w:sz="0" w:space="0" w:color="auto"/>
                                    <w:bottom w:val="none" w:sz="0" w:space="0" w:color="auto"/>
                                    <w:right w:val="none" w:sz="0" w:space="0" w:color="auto"/>
                                  </w:divBdr>
                                </w:div>
                                <w:div w:id="13341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671962">
      <w:bodyDiv w:val="1"/>
      <w:marLeft w:val="0"/>
      <w:marRight w:val="0"/>
      <w:marTop w:val="0"/>
      <w:marBottom w:val="0"/>
      <w:divBdr>
        <w:top w:val="none" w:sz="0" w:space="0" w:color="auto"/>
        <w:left w:val="none" w:sz="0" w:space="0" w:color="auto"/>
        <w:bottom w:val="none" w:sz="0" w:space="0" w:color="auto"/>
        <w:right w:val="none" w:sz="0" w:space="0" w:color="auto"/>
      </w:divBdr>
      <w:divsChild>
        <w:div w:id="1026366333">
          <w:marLeft w:val="0"/>
          <w:marRight w:val="0"/>
          <w:marTop w:val="0"/>
          <w:marBottom w:val="0"/>
          <w:divBdr>
            <w:top w:val="none" w:sz="0" w:space="0" w:color="auto"/>
            <w:left w:val="none" w:sz="0" w:space="0" w:color="auto"/>
            <w:bottom w:val="none" w:sz="0" w:space="0" w:color="auto"/>
            <w:right w:val="none" w:sz="0" w:space="0" w:color="auto"/>
          </w:divBdr>
          <w:divsChild>
            <w:div w:id="403189361">
              <w:marLeft w:val="0"/>
              <w:marRight w:val="0"/>
              <w:marTop w:val="100"/>
              <w:marBottom w:val="100"/>
              <w:divBdr>
                <w:top w:val="none" w:sz="0" w:space="0" w:color="auto"/>
                <w:left w:val="none" w:sz="0" w:space="0" w:color="auto"/>
                <w:bottom w:val="none" w:sz="0" w:space="0" w:color="auto"/>
                <w:right w:val="none" w:sz="0" w:space="0" w:color="auto"/>
              </w:divBdr>
              <w:divsChild>
                <w:div w:id="769400444">
                  <w:marLeft w:val="0"/>
                  <w:marRight w:val="0"/>
                  <w:marTop w:val="0"/>
                  <w:marBottom w:val="0"/>
                  <w:divBdr>
                    <w:top w:val="none" w:sz="0" w:space="0" w:color="auto"/>
                    <w:left w:val="none" w:sz="0" w:space="0" w:color="auto"/>
                    <w:bottom w:val="none" w:sz="0" w:space="0" w:color="auto"/>
                    <w:right w:val="none" w:sz="0" w:space="0" w:color="auto"/>
                  </w:divBdr>
                  <w:divsChild>
                    <w:div w:id="2058434281">
                      <w:marLeft w:val="0"/>
                      <w:marRight w:val="0"/>
                      <w:marTop w:val="0"/>
                      <w:marBottom w:val="0"/>
                      <w:divBdr>
                        <w:top w:val="none" w:sz="0" w:space="0" w:color="auto"/>
                        <w:left w:val="none" w:sz="0" w:space="0" w:color="auto"/>
                        <w:bottom w:val="none" w:sz="0" w:space="0" w:color="auto"/>
                        <w:right w:val="none" w:sz="0" w:space="0" w:color="auto"/>
                      </w:divBdr>
                      <w:divsChild>
                        <w:div w:id="1628004909">
                          <w:marLeft w:val="0"/>
                          <w:marRight w:val="0"/>
                          <w:marTop w:val="0"/>
                          <w:marBottom w:val="0"/>
                          <w:divBdr>
                            <w:top w:val="none" w:sz="0" w:space="0" w:color="auto"/>
                            <w:left w:val="none" w:sz="0" w:space="0" w:color="auto"/>
                            <w:bottom w:val="none" w:sz="0" w:space="0" w:color="auto"/>
                            <w:right w:val="none" w:sz="0" w:space="0" w:color="auto"/>
                          </w:divBdr>
                          <w:divsChild>
                            <w:div w:id="1563787005">
                              <w:marLeft w:val="0"/>
                              <w:marRight w:val="0"/>
                              <w:marTop w:val="0"/>
                              <w:marBottom w:val="0"/>
                              <w:divBdr>
                                <w:top w:val="none" w:sz="0" w:space="0" w:color="auto"/>
                                <w:left w:val="none" w:sz="0" w:space="0" w:color="auto"/>
                                <w:bottom w:val="none" w:sz="0" w:space="0" w:color="auto"/>
                                <w:right w:val="none" w:sz="0" w:space="0" w:color="auto"/>
                              </w:divBdr>
                              <w:divsChild>
                                <w:div w:id="1509758149">
                                  <w:marLeft w:val="0"/>
                                  <w:marRight w:val="0"/>
                                  <w:marTop w:val="100"/>
                                  <w:marBottom w:val="100"/>
                                  <w:divBdr>
                                    <w:top w:val="none" w:sz="0" w:space="0" w:color="auto"/>
                                    <w:left w:val="none" w:sz="0" w:space="0" w:color="auto"/>
                                    <w:bottom w:val="none" w:sz="0" w:space="0" w:color="auto"/>
                                    <w:right w:val="none" w:sz="0" w:space="0" w:color="auto"/>
                                  </w:divBdr>
                                  <w:divsChild>
                                    <w:div w:id="898369098">
                                      <w:marLeft w:val="0"/>
                                      <w:marRight w:val="0"/>
                                      <w:marTop w:val="0"/>
                                      <w:marBottom w:val="135"/>
                                      <w:divBdr>
                                        <w:top w:val="none" w:sz="0" w:space="0" w:color="auto"/>
                                        <w:left w:val="none" w:sz="0" w:space="0" w:color="auto"/>
                                        <w:bottom w:val="single" w:sz="12" w:space="9" w:color="EBEBEB"/>
                                        <w:right w:val="none" w:sz="0" w:space="0" w:color="auto"/>
                                      </w:divBdr>
                                      <w:divsChild>
                                        <w:div w:id="6601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0081912">
      <w:bodyDiv w:val="1"/>
      <w:marLeft w:val="0"/>
      <w:marRight w:val="0"/>
      <w:marTop w:val="0"/>
      <w:marBottom w:val="0"/>
      <w:divBdr>
        <w:top w:val="none" w:sz="0" w:space="0" w:color="auto"/>
        <w:left w:val="none" w:sz="0" w:space="0" w:color="auto"/>
        <w:bottom w:val="none" w:sz="0" w:space="0" w:color="auto"/>
        <w:right w:val="none" w:sz="0" w:space="0" w:color="auto"/>
      </w:divBdr>
    </w:div>
    <w:div w:id="1062632683">
      <w:bodyDiv w:val="1"/>
      <w:marLeft w:val="0"/>
      <w:marRight w:val="0"/>
      <w:marTop w:val="0"/>
      <w:marBottom w:val="0"/>
      <w:divBdr>
        <w:top w:val="none" w:sz="0" w:space="0" w:color="auto"/>
        <w:left w:val="none" w:sz="0" w:space="0" w:color="auto"/>
        <w:bottom w:val="none" w:sz="0" w:space="0" w:color="auto"/>
        <w:right w:val="none" w:sz="0" w:space="0" w:color="auto"/>
      </w:divBdr>
    </w:div>
    <w:div w:id="1155417694">
      <w:bodyDiv w:val="1"/>
      <w:marLeft w:val="0"/>
      <w:marRight w:val="0"/>
      <w:marTop w:val="0"/>
      <w:marBottom w:val="0"/>
      <w:divBdr>
        <w:top w:val="none" w:sz="0" w:space="0" w:color="auto"/>
        <w:left w:val="none" w:sz="0" w:space="0" w:color="auto"/>
        <w:bottom w:val="none" w:sz="0" w:space="0" w:color="auto"/>
        <w:right w:val="none" w:sz="0" w:space="0" w:color="auto"/>
      </w:divBdr>
    </w:div>
    <w:div w:id="1237859464">
      <w:bodyDiv w:val="1"/>
      <w:marLeft w:val="0"/>
      <w:marRight w:val="0"/>
      <w:marTop w:val="0"/>
      <w:marBottom w:val="0"/>
      <w:divBdr>
        <w:top w:val="none" w:sz="0" w:space="0" w:color="auto"/>
        <w:left w:val="none" w:sz="0" w:space="0" w:color="auto"/>
        <w:bottom w:val="none" w:sz="0" w:space="0" w:color="auto"/>
        <w:right w:val="none" w:sz="0" w:space="0" w:color="auto"/>
      </w:divBdr>
      <w:divsChild>
        <w:div w:id="1521965418">
          <w:marLeft w:val="0"/>
          <w:marRight w:val="0"/>
          <w:marTop w:val="0"/>
          <w:marBottom w:val="0"/>
          <w:divBdr>
            <w:top w:val="none" w:sz="0" w:space="0" w:color="auto"/>
            <w:left w:val="none" w:sz="0" w:space="0" w:color="auto"/>
            <w:bottom w:val="none" w:sz="0" w:space="0" w:color="auto"/>
            <w:right w:val="none" w:sz="0" w:space="0" w:color="auto"/>
          </w:divBdr>
          <w:divsChild>
            <w:div w:id="377170415">
              <w:marLeft w:val="0"/>
              <w:marRight w:val="0"/>
              <w:marTop w:val="100"/>
              <w:marBottom w:val="100"/>
              <w:divBdr>
                <w:top w:val="none" w:sz="0" w:space="0" w:color="auto"/>
                <w:left w:val="none" w:sz="0" w:space="0" w:color="auto"/>
                <w:bottom w:val="none" w:sz="0" w:space="0" w:color="auto"/>
                <w:right w:val="none" w:sz="0" w:space="0" w:color="auto"/>
              </w:divBdr>
              <w:divsChild>
                <w:div w:id="1163861558">
                  <w:marLeft w:val="0"/>
                  <w:marRight w:val="0"/>
                  <w:marTop w:val="0"/>
                  <w:marBottom w:val="0"/>
                  <w:divBdr>
                    <w:top w:val="none" w:sz="0" w:space="0" w:color="auto"/>
                    <w:left w:val="none" w:sz="0" w:space="0" w:color="auto"/>
                    <w:bottom w:val="none" w:sz="0" w:space="0" w:color="auto"/>
                    <w:right w:val="none" w:sz="0" w:space="0" w:color="auto"/>
                  </w:divBdr>
                  <w:divsChild>
                    <w:div w:id="143665874">
                      <w:marLeft w:val="0"/>
                      <w:marRight w:val="0"/>
                      <w:marTop w:val="0"/>
                      <w:marBottom w:val="0"/>
                      <w:divBdr>
                        <w:top w:val="none" w:sz="0" w:space="0" w:color="auto"/>
                        <w:left w:val="none" w:sz="0" w:space="0" w:color="auto"/>
                        <w:bottom w:val="none" w:sz="0" w:space="0" w:color="auto"/>
                        <w:right w:val="none" w:sz="0" w:space="0" w:color="auto"/>
                      </w:divBdr>
                      <w:divsChild>
                        <w:div w:id="240218907">
                          <w:marLeft w:val="0"/>
                          <w:marRight w:val="0"/>
                          <w:marTop w:val="0"/>
                          <w:marBottom w:val="0"/>
                          <w:divBdr>
                            <w:top w:val="none" w:sz="0" w:space="0" w:color="auto"/>
                            <w:left w:val="none" w:sz="0" w:space="0" w:color="auto"/>
                            <w:bottom w:val="none" w:sz="0" w:space="0" w:color="auto"/>
                            <w:right w:val="none" w:sz="0" w:space="0" w:color="auto"/>
                          </w:divBdr>
                          <w:divsChild>
                            <w:div w:id="706756880">
                              <w:marLeft w:val="0"/>
                              <w:marRight w:val="0"/>
                              <w:marTop w:val="0"/>
                              <w:marBottom w:val="0"/>
                              <w:divBdr>
                                <w:top w:val="none" w:sz="0" w:space="0" w:color="auto"/>
                                <w:left w:val="none" w:sz="0" w:space="0" w:color="auto"/>
                                <w:bottom w:val="none" w:sz="0" w:space="0" w:color="auto"/>
                                <w:right w:val="none" w:sz="0" w:space="0" w:color="auto"/>
                              </w:divBdr>
                              <w:divsChild>
                                <w:div w:id="533467488">
                                  <w:marLeft w:val="0"/>
                                  <w:marRight w:val="0"/>
                                  <w:marTop w:val="100"/>
                                  <w:marBottom w:val="100"/>
                                  <w:divBdr>
                                    <w:top w:val="none" w:sz="0" w:space="0" w:color="auto"/>
                                    <w:left w:val="none" w:sz="0" w:space="0" w:color="auto"/>
                                    <w:bottom w:val="none" w:sz="0" w:space="0" w:color="auto"/>
                                    <w:right w:val="none" w:sz="0" w:space="0" w:color="auto"/>
                                  </w:divBdr>
                                  <w:divsChild>
                                    <w:div w:id="2135177301">
                                      <w:marLeft w:val="0"/>
                                      <w:marRight w:val="0"/>
                                      <w:marTop w:val="0"/>
                                      <w:marBottom w:val="135"/>
                                      <w:divBdr>
                                        <w:top w:val="none" w:sz="0" w:space="0" w:color="auto"/>
                                        <w:left w:val="none" w:sz="0" w:space="0" w:color="auto"/>
                                        <w:bottom w:val="single" w:sz="12" w:space="9" w:color="EBEBEB"/>
                                        <w:right w:val="none" w:sz="0" w:space="0" w:color="auto"/>
                                      </w:divBdr>
                                      <w:divsChild>
                                        <w:div w:id="7934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9481732">
      <w:bodyDiv w:val="1"/>
      <w:marLeft w:val="0"/>
      <w:marRight w:val="0"/>
      <w:marTop w:val="0"/>
      <w:marBottom w:val="0"/>
      <w:divBdr>
        <w:top w:val="none" w:sz="0" w:space="0" w:color="auto"/>
        <w:left w:val="none" w:sz="0" w:space="0" w:color="auto"/>
        <w:bottom w:val="none" w:sz="0" w:space="0" w:color="auto"/>
        <w:right w:val="none" w:sz="0" w:space="0" w:color="auto"/>
      </w:divBdr>
    </w:div>
    <w:div w:id="1567177902">
      <w:bodyDiv w:val="1"/>
      <w:marLeft w:val="0"/>
      <w:marRight w:val="0"/>
      <w:marTop w:val="0"/>
      <w:marBottom w:val="0"/>
      <w:divBdr>
        <w:top w:val="none" w:sz="0" w:space="0" w:color="auto"/>
        <w:left w:val="none" w:sz="0" w:space="0" w:color="auto"/>
        <w:bottom w:val="none" w:sz="0" w:space="0" w:color="auto"/>
        <w:right w:val="none" w:sz="0" w:space="0" w:color="auto"/>
      </w:divBdr>
    </w:div>
    <w:div w:id="1934434703">
      <w:bodyDiv w:val="1"/>
      <w:marLeft w:val="0"/>
      <w:marRight w:val="0"/>
      <w:marTop w:val="0"/>
      <w:marBottom w:val="0"/>
      <w:divBdr>
        <w:top w:val="none" w:sz="0" w:space="0" w:color="auto"/>
        <w:left w:val="none" w:sz="0" w:space="0" w:color="auto"/>
        <w:bottom w:val="none" w:sz="0" w:space="0" w:color="auto"/>
        <w:right w:val="none" w:sz="0" w:space="0" w:color="auto"/>
      </w:divBdr>
      <w:divsChild>
        <w:div w:id="1170213845">
          <w:marLeft w:val="0"/>
          <w:marRight w:val="0"/>
          <w:marTop w:val="0"/>
          <w:marBottom w:val="0"/>
          <w:divBdr>
            <w:top w:val="none" w:sz="0" w:space="0" w:color="auto"/>
            <w:left w:val="none" w:sz="0" w:space="0" w:color="auto"/>
            <w:bottom w:val="none" w:sz="0" w:space="0" w:color="auto"/>
            <w:right w:val="none" w:sz="0" w:space="0" w:color="auto"/>
          </w:divBdr>
          <w:divsChild>
            <w:div w:id="969625557">
              <w:marLeft w:val="0"/>
              <w:marRight w:val="0"/>
              <w:marTop w:val="0"/>
              <w:marBottom w:val="0"/>
              <w:divBdr>
                <w:top w:val="none" w:sz="0" w:space="0" w:color="auto"/>
                <w:left w:val="none" w:sz="0" w:space="0" w:color="auto"/>
                <w:bottom w:val="none" w:sz="0" w:space="0" w:color="auto"/>
                <w:right w:val="none" w:sz="0" w:space="0" w:color="auto"/>
              </w:divBdr>
              <w:divsChild>
                <w:div w:id="1102187145">
                  <w:marLeft w:val="0"/>
                  <w:marRight w:val="0"/>
                  <w:marTop w:val="0"/>
                  <w:marBottom w:val="0"/>
                  <w:divBdr>
                    <w:top w:val="none" w:sz="0" w:space="0" w:color="auto"/>
                    <w:left w:val="none" w:sz="0" w:space="0" w:color="auto"/>
                    <w:bottom w:val="none" w:sz="0" w:space="0" w:color="auto"/>
                    <w:right w:val="none" w:sz="0" w:space="0" w:color="auto"/>
                  </w:divBdr>
                  <w:divsChild>
                    <w:div w:id="1257013232">
                      <w:marLeft w:val="0"/>
                      <w:marRight w:val="0"/>
                      <w:marTop w:val="0"/>
                      <w:marBottom w:val="0"/>
                      <w:divBdr>
                        <w:top w:val="none" w:sz="0" w:space="0" w:color="auto"/>
                        <w:left w:val="none" w:sz="0" w:space="0" w:color="auto"/>
                        <w:bottom w:val="none" w:sz="0" w:space="0" w:color="auto"/>
                        <w:right w:val="none" w:sz="0" w:space="0" w:color="auto"/>
                      </w:divBdr>
                      <w:divsChild>
                        <w:div w:id="2094010868">
                          <w:marLeft w:val="0"/>
                          <w:marRight w:val="5250"/>
                          <w:marTop w:val="0"/>
                          <w:marBottom w:val="0"/>
                          <w:divBdr>
                            <w:top w:val="none" w:sz="0" w:space="0" w:color="auto"/>
                            <w:left w:val="none" w:sz="0" w:space="0" w:color="auto"/>
                            <w:bottom w:val="none" w:sz="0" w:space="0" w:color="auto"/>
                            <w:right w:val="none" w:sz="0" w:space="0" w:color="auto"/>
                          </w:divBdr>
                          <w:divsChild>
                            <w:div w:id="1735002379">
                              <w:marLeft w:val="0"/>
                              <w:marRight w:val="0"/>
                              <w:marTop w:val="0"/>
                              <w:marBottom w:val="0"/>
                              <w:divBdr>
                                <w:top w:val="none" w:sz="0" w:space="0" w:color="auto"/>
                                <w:left w:val="none" w:sz="0" w:space="0" w:color="auto"/>
                                <w:bottom w:val="none" w:sz="0" w:space="0" w:color="auto"/>
                                <w:right w:val="none" w:sz="0" w:space="0" w:color="auto"/>
                              </w:divBdr>
                              <w:divsChild>
                                <w:div w:id="1439788536">
                                  <w:marLeft w:val="0"/>
                                  <w:marRight w:val="0"/>
                                  <w:marTop w:val="0"/>
                                  <w:marBottom w:val="0"/>
                                  <w:divBdr>
                                    <w:top w:val="none" w:sz="0" w:space="0" w:color="auto"/>
                                    <w:left w:val="none" w:sz="0" w:space="0" w:color="auto"/>
                                    <w:bottom w:val="none" w:sz="0" w:space="0" w:color="auto"/>
                                    <w:right w:val="none" w:sz="0" w:space="0" w:color="auto"/>
                                  </w:divBdr>
                                </w:div>
                                <w:div w:id="19099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F0A45-998B-4EC4-961A-B1E8E604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507</Words>
  <Characters>2895</Characters>
  <Application>Microsoft Office Word</Application>
  <DocSecurity>0</DocSecurity>
  <Lines>24</Lines>
  <Paragraphs>6</Paragraphs>
  <ScaleCrop>false</ScaleCrop>
  <Company>中国石油大学</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35</cp:revision>
  <dcterms:created xsi:type="dcterms:W3CDTF">2014-03-04T01:52:00Z</dcterms:created>
  <dcterms:modified xsi:type="dcterms:W3CDTF">2017-12-20T00:31:00Z</dcterms:modified>
</cp:coreProperties>
</file>