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0EAC" w:rsidRPr="00CA0D83" w:rsidRDefault="00270EAC" w:rsidP="00CA0D83">
      <w:pPr>
        <w:spacing w:line="360" w:lineRule="auto"/>
        <w:jc w:val="center"/>
        <w:rPr>
          <w:rFonts w:asciiTheme="minorEastAsia" w:eastAsiaTheme="minorEastAsia" w:hAnsiTheme="minorEastAsia" w:cs="仿宋_GB2312"/>
          <w:b/>
          <w:sz w:val="28"/>
          <w:szCs w:val="28"/>
        </w:rPr>
      </w:pPr>
      <w:r w:rsidRPr="00CA0D83">
        <w:rPr>
          <w:rFonts w:asciiTheme="minorEastAsia" w:eastAsiaTheme="minorEastAsia" w:hAnsiTheme="minorEastAsia" w:cs="仿宋_GB2312" w:hint="eastAsia"/>
          <w:b/>
          <w:sz w:val="28"/>
          <w:szCs w:val="28"/>
        </w:rPr>
        <w:t>项目公示信息</w:t>
      </w:r>
    </w:p>
    <w:p w:rsidR="00270EAC" w:rsidRPr="00CA0D83" w:rsidRDefault="00270EAC" w:rsidP="00CA0D83">
      <w:pPr>
        <w:spacing w:line="360" w:lineRule="auto"/>
        <w:rPr>
          <w:rFonts w:asciiTheme="minorEastAsia" w:eastAsiaTheme="minorEastAsia" w:hAnsiTheme="minorEastAsia" w:cs="仿宋_GB2312"/>
          <w:sz w:val="24"/>
          <w:szCs w:val="24"/>
        </w:rPr>
      </w:pPr>
      <w:r w:rsidRPr="00CA0D83">
        <w:rPr>
          <w:rFonts w:asciiTheme="minorEastAsia" w:eastAsiaTheme="minorEastAsia" w:hAnsiTheme="minorEastAsia" w:cs="仿宋_GB2312" w:hint="eastAsia"/>
          <w:b/>
          <w:sz w:val="24"/>
          <w:szCs w:val="24"/>
        </w:rPr>
        <w:t>项目名称：</w:t>
      </w:r>
      <w:r w:rsidRPr="00CA0D83">
        <w:rPr>
          <w:rFonts w:asciiTheme="minorEastAsia" w:eastAsiaTheme="minorEastAsia" w:hAnsiTheme="minorEastAsia" w:cs="仿宋_GB2312" w:hint="eastAsia"/>
          <w:sz w:val="24"/>
          <w:szCs w:val="24"/>
        </w:rPr>
        <w:t>局部谱的稳定性及其在量子纠错码构造中的应用</w:t>
      </w:r>
    </w:p>
    <w:p w:rsidR="00270EAC" w:rsidRPr="00CA0D83" w:rsidRDefault="00270EAC" w:rsidP="00CA0D83">
      <w:pPr>
        <w:spacing w:line="360" w:lineRule="auto"/>
        <w:rPr>
          <w:rFonts w:asciiTheme="minorEastAsia" w:eastAsiaTheme="minorEastAsia" w:hAnsiTheme="minorEastAsia" w:cs="仿宋_GB2312"/>
          <w:sz w:val="24"/>
          <w:szCs w:val="24"/>
        </w:rPr>
      </w:pPr>
      <w:r w:rsidRPr="00CA0D83">
        <w:rPr>
          <w:rFonts w:asciiTheme="minorEastAsia" w:eastAsiaTheme="minorEastAsia" w:hAnsiTheme="minorEastAsia" w:cs="仿宋_GB2312" w:hint="eastAsia"/>
          <w:b/>
          <w:sz w:val="24"/>
          <w:szCs w:val="24"/>
        </w:rPr>
        <w:t>完成单位：</w:t>
      </w:r>
      <w:r w:rsidRPr="00CA0D83">
        <w:rPr>
          <w:rFonts w:asciiTheme="minorEastAsia" w:eastAsiaTheme="minorEastAsia" w:hAnsiTheme="minorEastAsia" w:cs="仿宋_GB2312" w:hint="eastAsia"/>
          <w:sz w:val="24"/>
          <w:szCs w:val="24"/>
        </w:rPr>
        <w:t>陕西师范大</w:t>
      </w:r>
      <w:r w:rsidR="00D610BB">
        <w:rPr>
          <w:rFonts w:asciiTheme="minorEastAsia" w:eastAsiaTheme="minorEastAsia" w:hAnsiTheme="minorEastAsia" w:cs="仿宋_GB2312" w:hint="eastAsia"/>
          <w:sz w:val="24"/>
          <w:szCs w:val="24"/>
        </w:rPr>
        <w:t>学</w:t>
      </w:r>
    </w:p>
    <w:p w:rsidR="00270EAC" w:rsidRPr="00CA0D83" w:rsidRDefault="00270EAC" w:rsidP="00CA0D83">
      <w:pPr>
        <w:spacing w:line="360" w:lineRule="auto"/>
        <w:rPr>
          <w:rFonts w:asciiTheme="minorEastAsia" w:eastAsiaTheme="minorEastAsia" w:hAnsiTheme="minorEastAsia" w:cs="仿宋_GB2312"/>
          <w:sz w:val="24"/>
          <w:szCs w:val="24"/>
        </w:rPr>
      </w:pPr>
      <w:r w:rsidRPr="00CA0D83">
        <w:rPr>
          <w:rFonts w:asciiTheme="minorEastAsia" w:eastAsiaTheme="minorEastAsia" w:hAnsiTheme="minorEastAsia" w:cs="仿宋_GB2312" w:hint="eastAsia"/>
          <w:b/>
          <w:sz w:val="24"/>
          <w:szCs w:val="24"/>
        </w:rPr>
        <w:t>完成人</w:t>
      </w:r>
      <w:r w:rsidR="000A72E9">
        <w:rPr>
          <w:rFonts w:asciiTheme="minorEastAsia" w:eastAsiaTheme="minorEastAsia" w:hAnsiTheme="minorEastAsia" w:cs="仿宋_GB2312" w:hint="eastAsia"/>
          <w:b/>
          <w:sz w:val="24"/>
          <w:szCs w:val="24"/>
        </w:rPr>
        <w:t>：</w:t>
      </w:r>
      <w:r w:rsidRPr="00CA0D83">
        <w:rPr>
          <w:rFonts w:asciiTheme="minorEastAsia" w:eastAsiaTheme="minorEastAsia" w:hAnsiTheme="minorEastAsia" w:cs="仿宋_GB2312" w:hint="eastAsia"/>
          <w:sz w:val="24"/>
          <w:szCs w:val="24"/>
        </w:rPr>
        <w:t>曹小红</w:t>
      </w:r>
      <w:r w:rsidR="00CA0D83">
        <w:rPr>
          <w:rFonts w:asciiTheme="minorEastAsia" w:eastAsiaTheme="minorEastAsia" w:hAnsiTheme="minorEastAsia" w:cs="仿宋_GB2312" w:hint="eastAsia"/>
          <w:sz w:val="24"/>
          <w:szCs w:val="24"/>
        </w:rPr>
        <w:t>、</w:t>
      </w:r>
      <w:r w:rsidRPr="00CA0D83">
        <w:rPr>
          <w:rFonts w:asciiTheme="minorEastAsia" w:eastAsiaTheme="minorEastAsia" w:hAnsiTheme="minorEastAsia" w:cs="仿宋_GB2312" w:hint="eastAsia"/>
          <w:sz w:val="24"/>
          <w:szCs w:val="24"/>
        </w:rPr>
        <w:t>戴磊</w:t>
      </w:r>
      <w:r w:rsidR="00CA0D83">
        <w:rPr>
          <w:rFonts w:asciiTheme="minorEastAsia" w:eastAsiaTheme="minorEastAsia" w:hAnsiTheme="minorEastAsia" w:cs="仿宋_GB2312" w:hint="eastAsia"/>
          <w:sz w:val="24"/>
          <w:szCs w:val="24"/>
        </w:rPr>
        <w:t>、</w:t>
      </w:r>
      <w:r w:rsidRPr="00CA0D83">
        <w:rPr>
          <w:rFonts w:asciiTheme="minorEastAsia" w:eastAsiaTheme="minorEastAsia" w:hAnsiTheme="minorEastAsia" w:cs="仿宋_GB2312" w:hint="eastAsia"/>
          <w:sz w:val="24"/>
          <w:szCs w:val="24"/>
        </w:rPr>
        <w:t>孙晨辉</w:t>
      </w:r>
      <w:r w:rsidR="00CA0D83">
        <w:rPr>
          <w:rFonts w:asciiTheme="minorEastAsia" w:eastAsiaTheme="minorEastAsia" w:hAnsiTheme="minorEastAsia" w:cs="仿宋_GB2312" w:hint="eastAsia"/>
          <w:sz w:val="24"/>
          <w:szCs w:val="24"/>
        </w:rPr>
        <w:t>、</w:t>
      </w:r>
      <w:r w:rsidRPr="00CA0D83">
        <w:rPr>
          <w:rFonts w:asciiTheme="minorEastAsia" w:eastAsiaTheme="minorEastAsia" w:hAnsiTheme="minorEastAsia" w:cs="仿宋_GB2312" w:hint="eastAsia"/>
          <w:sz w:val="24"/>
          <w:szCs w:val="24"/>
        </w:rPr>
        <w:t>张鹤佳</w:t>
      </w:r>
      <w:r w:rsidR="00CA0D83">
        <w:rPr>
          <w:rFonts w:asciiTheme="minorEastAsia" w:eastAsiaTheme="minorEastAsia" w:hAnsiTheme="minorEastAsia" w:cs="仿宋_GB2312" w:hint="eastAsia"/>
          <w:sz w:val="24"/>
          <w:szCs w:val="24"/>
        </w:rPr>
        <w:t>、</w:t>
      </w:r>
      <w:r w:rsidRPr="00CA0D83">
        <w:rPr>
          <w:rFonts w:asciiTheme="minorEastAsia" w:eastAsiaTheme="minorEastAsia" w:hAnsiTheme="minorEastAsia" w:cs="仿宋_GB2312" w:hint="eastAsia"/>
          <w:sz w:val="24"/>
          <w:szCs w:val="24"/>
        </w:rPr>
        <w:t>刘爱芳</w:t>
      </w:r>
    </w:p>
    <w:p w:rsidR="00270EAC" w:rsidRPr="00CA0D83" w:rsidRDefault="00270EAC" w:rsidP="00CA0D83">
      <w:pPr>
        <w:autoSpaceDE w:val="0"/>
        <w:autoSpaceDN w:val="0"/>
        <w:adjustRightInd w:val="0"/>
        <w:spacing w:line="360" w:lineRule="auto"/>
        <w:jc w:val="left"/>
        <w:rPr>
          <w:rFonts w:asciiTheme="minorEastAsia" w:eastAsiaTheme="minorEastAsia" w:hAnsiTheme="minorEastAsia" w:cs="仿宋_GB2312"/>
          <w:b/>
          <w:sz w:val="24"/>
          <w:szCs w:val="24"/>
        </w:rPr>
      </w:pPr>
      <w:r w:rsidRPr="00CA0D83">
        <w:rPr>
          <w:rFonts w:asciiTheme="minorEastAsia" w:eastAsiaTheme="minorEastAsia" w:hAnsiTheme="minorEastAsia" w:cs="仿宋_GB2312" w:hint="eastAsia"/>
          <w:b/>
          <w:sz w:val="24"/>
          <w:szCs w:val="24"/>
        </w:rPr>
        <w:t>项目简介：</w:t>
      </w:r>
    </w:p>
    <w:p w:rsidR="00270EAC" w:rsidRPr="00CA0D83" w:rsidRDefault="00270EAC" w:rsidP="00CA0D83">
      <w:pPr>
        <w:autoSpaceDE w:val="0"/>
        <w:autoSpaceDN w:val="0"/>
        <w:adjustRightInd w:val="0"/>
        <w:spacing w:line="360" w:lineRule="auto"/>
        <w:ind w:firstLineChars="200" w:firstLine="480"/>
        <w:jc w:val="left"/>
        <w:rPr>
          <w:rFonts w:asciiTheme="minorEastAsia" w:eastAsiaTheme="minorEastAsia" w:hAnsiTheme="minorEastAsia" w:cs="Courier"/>
          <w:color w:val="000000"/>
          <w:kern w:val="0"/>
          <w:sz w:val="24"/>
          <w:szCs w:val="24"/>
        </w:rPr>
      </w:pPr>
      <w:r w:rsidRPr="00CA0D83">
        <w:rPr>
          <w:rFonts w:asciiTheme="minorEastAsia" w:eastAsiaTheme="minorEastAsia" w:hAnsiTheme="minorEastAsia" w:cs="Courier" w:hint="eastAsia"/>
          <w:color w:val="000000"/>
          <w:kern w:val="0"/>
          <w:sz w:val="24"/>
          <w:szCs w:val="24"/>
        </w:rPr>
        <w:t>本项目属数学基础研究领域</w:t>
      </w:r>
      <w:r w:rsidRPr="00CA0D83">
        <w:rPr>
          <w:rFonts w:asciiTheme="minorEastAsia" w:eastAsiaTheme="minorEastAsia" w:hAnsiTheme="minorEastAsia" w:cs="Courier"/>
          <w:color w:val="000000"/>
          <w:kern w:val="0"/>
          <w:sz w:val="24"/>
          <w:szCs w:val="24"/>
        </w:rPr>
        <w:t xml:space="preserve">, </w:t>
      </w:r>
      <w:r w:rsidRPr="00CA0D83">
        <w:rPr>
          <w:rFonts w:asciiTheme="minorEastAsia" w:eastAsiaTheme="minorEastAsia" w:hAnsiTheme="minorEastAsia" w:cs="Courier" w:hint="eastAsia"/>
          <w:color w:val="000000"/>
          <w:kern w:val="0"/>
          <w:sz w:val="24"/>
          <w:szCs w:val="24"/>
        </w:rPr>
        <w:t>共包括</w:t>
      </w:r>
      <w:r w:rsidRPr="00CA0D83">
        <w:rPr>
          <w:rFonts w:asciiTheme="minorEastAsia" w:eastAsiaTheme="minorEastAsia" w:hAnsiTheme="minorEastAsia" w:cs="Courier"/>
          <w:color w:val="000000"/>
          <w:kern w:val="0"/>
          <w:sz w:val="24"/>
          <w:szCs w:val="24"/>
        </w:rPr>
        <w:t>57</w:t>
      </w:r>
      <w:r w:rsidRPr="00CA0D83">
        <w:rPr>
          <w:rFonts w:asciiTheme="minorEastAsia" w:eastAsiaTheme="minorEastAsia" w:hAnsiTheme="minorEastAsia" w:cs="Courier" w:hint="eastAsia"/>
          <w:color w:val="000000"/>
          <w:kern w:val="0"/>
          <w:sz w:val="24"/>
          <w:szCs w:val="24"/>
        </w:rPr>
        <w:t>篇论文，一部研究生教材，其中</w:t>
      </w:r>
      <w:r w:rsidRPr="00CA0D83">
        <w:rPr>
          <w:rFonts w:asciiTheme="minorEastAsia" w:eastAsiaTheme="minorEastAsia" w:hAnsiTheme="minorEastAsia" w:cs="Courier"/>
          <w:color w:val="000000"/>
          <w:kern w:val="0"/>
          <w:sz w:val="24"/>
          <w:szCs w:val="24"/>
        </w:rPr>
        <w:t>SCI</w:t>
      </w:r>
      <w:r w:rsidRPr="00CA0D83">
        <w:rPr>
          <w:rFonts w:asciiTheme="minorEastAsia" w:eastAsiaTheme="minorEastAsia" w:hAnsiTheme="minorEastAsia" w:cs="Courier" w:hint="eastAsia"/>
          <w:color w:val="000000"/>
          <w:kern w:val="0"/>
          <w:sz w:val="24"/>
          <w:szCs w:val="24"/>
        </w:rPr>
        <w:t>源期刊论文</w:t>
      </w:r>
      <w:r w:rsidRPr="00CA0D83">
        <w:rPr>
          <w:rFonts w:asciiTheme="minorEastAsia" w:eastAsiaTheme="minorEastAsia" w:hAnsiTheme="minorEastAsia" w:cs="Courier"/>
          <w:color w:val="000000"/>
          <w:kern w:val="0"/>
          <w:sz w:val="24"/>
          <w:szCs w:val="24"/>
        </w:rPr>
        <w:t>20</w:t>
      </w:r>
      <w:r w:rsidRPr="00CA0D83">
        <w:rPr>
          <w:rFonts w:asciiTheme="minorEastAsia" w:eastAsiaTheme="minorEastAsia" w:hAnsiTheme="minorEastAsia" w:cs="Courier" w:hint="eastAsia"/>
          <w:color w:val="000000"/>
          <w:kern w:val="0"/>
          <w:sz w:val="24"/>
          <w:szCs w:val="24"/>
        </w:rPr>
        <w:t>篇，</w:t>
      </w:r>
      <w:r w:rsidRPr="00CA0D83">
        <w:rPr>
          <w:rFonts w:asciiTheme="minorEastAsia" w:eastAsiaTheme="minorEastAsia" w:hAnsiTheme="minorEastAsia" w:cs="Courier"/>
          <w:color w:val="000000"/>
          <w:kern w:val="0"/>
          <w:sz w:val="24"/>
          <w:szCs w:val="24"/>
        </w:rPr>
        <w:t>10</w:t>
      </w:r>
      <w:r w:rsidRPr="00CA0D83">
        <w:rPr>
          <w:rFonts w:asciiTheme="minorEastAsia" w:eastAsiaTheme="minorEastAsia" w:hAnsiTheme="minorEastAsia" w:cs="Courier" w:hint="eastAsia"/>
          <w:color w:val="000000"/>
          <w:kern w:val="0"/>
          <w:sz w:val="24"/>
          <w:szCs w:val="24"/>
        </w:rPr>
        <w:t>篇论文发表在《数学学报》上。</w:t>
      </w:r>
    </w:p>
    <w:p w:rsidR="00270EAC" w:rsidRPr="00CA0D83" w:rsidRDefault="00270EAC" w:rsidP="00CA0D83">
      <w:pPr>
        <w:autoSpaceDE w:val="0"/>
        <w:autoSpaceDN w:val="0"/>
        <w:adjustRightInd w:val="0"/>
        <w:spacing w:line="360" w:lineRule="auto"/>
        <w:ind w:firstLineChars="200" w:firstLine="480"/>
        <w:jc w:val="left"/>
        <w:rPr>
          <w:rFonts w:asciiTheme="minorEastAsia" w:eastAsiaTheme="minorEastAsia" w:hAnsiTheme="minorEastAsia" w:cs="Courier"/>
          <w:color w:val="000000"/>
          <w:kern w:val="0"/>
          <w:sz w:val="24"/>
          <w:szCs w:val="24"/>
        </w:rPr>
      </w:pPr>
      <w:r w:rsidRPr="00CA0D83">
        <w:rPr>
          <w:rFonts w:asciiTheme="minorEastAsia" w:eastAsiaTheme="minorEastAsia" w:hAnsiTheme="minorEastAsia" w:cs="Courier" w:hint="eastAsia"/>
          <w:color w:val="000000"/>
          <w:kern w:val="0"/>
          <w:sz w:val="24"/>
          <w:szCs w:val="24"/>
        </w:rPr>
        <w:t>本研究主要包括三方面的内容：一是</w:t>
      </w:r>
      <w:r w:rsidRPr="00CA0D83">
        <w:rPr>
          <w:rFonts w:asciiTheme="minorEastAsia" w:eastAsiaTheme="minorEastAsia" w:hAnsiTheme="minorEastAsia" w:cs="Courier"/>
          <w:color w:val="000000"/>
          <w:kern w:val="0"/>
          <w:sz w:val="24"/>
          <w:szCs w:val="24"/>
        </w:rPr>
        <w:t>Weyl</w:t>
      </w:r>
      <w:r w:rsidRPr="00CA0D83">
        <w:rPr>
          <w:rFonts w:asciiTheme="minorEastAsia" w:eastAsiaTheme="minorEastAsia" w:hAnsiTheme="minorEastAsia" w:cs="Courier" w:hint="eastAsia"/>
          <w:color w:val="000000"/>
          <w:kern w:val="0"/>
          <w:sz w:val="24"/>
          <w:szCs w:val="24"/>
        </w:rPr>
        <w:t>型定理及其稳定性的判定，并将几个经典的谱理论问题结合起来进行了研究</w:t>
      </w:r>
      <w:r w:rsidRPr="00CA0D83">
        <w:rPr>
          <w:rFonts w:asciiTheme="minorEastAsia" w:eastAsiaTheme="minorEastAsia" w:hAnsiTheme="minorEastAsia" w:cs="Courier"/>
          <w:color w:val="000000"/>
          <w:kern w:val="0"/>
          <w:sz w:val="24"/>
          <w:szCs w:val="24"/>
        </w:rPr>
        <w:t>(</w:t>
      </w:r>
      <w:r w:rsidRPr="00CA0D83">
        <w:rPr>
          <w:rFonts w:asciiTheme="minorEastAsia" w:eastAsiaTheme="minorEastAsia" w:hAnsiTheme="minorEastAsia" w:cs="Courier" w:hint="eastAsia"/>
          <w:color w:val="000000"/>
          <w:kern w:val="0"/>
          <w:sz w:val="24"/>
          <w:szCs w:val="24"/>
        </w:rPr>
        <w:t>论文</w:t>
      </w:r>
      <w:r w:rsidRPr="00CA0D83">
        <w:rPr>
          <w:rFonts w:asciiTheme="minorEastAsia" w:eastAsiaTheme="minorEastAsia" w:hAnsiTheme="minorEastAsia" w:cs="Courier"/>
          <w:color w:val="000000"/>
          <w:kern w:val="0"/>
          <w:sz w:val="24"/>
          <w:szCs w:val="24"/>
        </w:rPr>
        <w:t>1-16, 18)</w:t>
      </w:r>
      <w:r w:rsidRPr="00CA0D83">
        <w:rPr>
          <w:rFonts w:asciiTheme="minorEastAsia" w:eastAsiaTheme="minorEastAsia" w:hAnsiTheme="minorEastAsia" w:cs="Courier" w:hint="eastAsia"/>
          <w:color w:val="000000"/>
          <w:kern w:val="0"/>
          <w:sz w:val="24"/>
          <w:szCs w:val="24"/>
        </w:rPr>
        <w:t>，二是研究了局部谱的摄动以及保持各类局部谱的线性映射的刻画</w:t>
      </w:r>
      <w:r w:rsidRPr="00CA0D83">
        <w:rPr>
          <w:rFonts w:asciiTheme="minorEastAsia" w:eastAsiaTheme="minorEastAsia" w:hAnsiTheme="minorEastAsia" w:cs="Courier"/>
          <w:color w:val="000000"/>
          <w:kern w:val="0"/>
          <w:sz w:val="24"/>
          <w:szCs w:val="24"/>
        </w:rPr>
        <w:t>(</w:t>
      </w:r>
      <w:r w:rsidRPr="00CA0D83">
        <w:rPr>
          <w:rFonts w:asciiTheme="minorEastAsia" w:eastAsiaTheme="minorEastAsia" w:hAnsiTheme="minorEastAsia" w:cs="Courier" w:hint="eastAsia"/>
          <w:color w:val="000000"/>
          <w:kern w:val="0"/>
          <w:sz w:val="24"/>
          <w:szCs w:val="24"/>
        </w:rPr>
        <w:t>论文</w:t>
      </w:r>
      <w:r w:rsidRPr="00CA0D83">
        <w:rPr>
          <w:rFonts w:asciiTheme="minorEastAsia" w:eastAsiaTheme="minorEastAsia" w:hAnsiTheme="minorEastAsia" w:cs="Courier"/>
          <w:color w:val="000000"/>
          <w:kern w:val="0"/>
          <w:sz w:val="24"/>
          <w:szCs w:val="24"/>
        </w:rPr>
        <w:t>17)</w:t>
      </w:r>
      <w:r w:rsidRPr="00CA0D83">
        <w:rPr>
          <w:rFonts w:asciiTheme="minorEastAsia" w:eastAsiaTheme="minorEastAsia" w:hAnsiTheme="minorEastAsia" w:cs="Courier" w:hint="eastAsia"/>
          <w:color w:val="000000"/>
          <w:kern w:val="0"/>
          <w:sz w:val="24"/>
          <w:szCs w:val="24"/>
        </w:rPr>
        <w:t>，三是一维量子纠错码的构造以及量子运算的局部谱的稳定性研究</w:t>
      </w:r>
      <w:r w:rsidRPr="00CA0D83">
        <w:rPr>
          <w:rFonts w:asciiTheme="minorEastAsia" w:eastAsiaTheme="minorEastAsia" w:hAnsiTheme="minorEastAsia" w:cs="Courier"/>
          <w:color w:val="000000"/>
          <w:kern w:val="0"/>
          <w:sz w:val="24"/>
          <w:szCs w:val="24"/>
        </w:rPr>
        <w:t>(</w:t>
      </w:r>
      <w:r w:rsidRPr="00CA0D83">
        <w:rPr>
          <w:rFonts w:asciiTheme="minorEastAsia" w:eastAsiaTheme="minorEastAsia" w:hAnsiTheme="minorEastAsia" w:cs="Courier" w:hint="eastAsia"/>
          <w:color w:val="000000"/>
          <w:kern w:val="0"/>
          <w:sz w:val="24"/>
          <w:szCs w:val="24"/>
        </w:rPr>
        <w:t>文章正在接受审稿中</w:t>
      </w:r>
      <w:r w:rsidRPr="00CA0D83">
        <w:rPr>
          <w:rFonts w:asciiTheme="minorEastAsia" w:eastAsiaTheme="minorEastAsia" w:hAnsiTheme="minorEastAsia" w:cs="Courier"/>
          <w:color w:val="000000"/>
          <w:kern w:val="0"/>
          <w:sz w:val="24"/>
          <w:szCs w:val="24"/>
        </w:rPr>
        <w:t>)</w:t>
      </w:r>
      <w:r w:rsidRPr="00CA0D83">
        <w:rPr>
          <w:rFonts w:asciiTheme="minorEastAsia" w:eastAsiaTheme="minorEastAsia" w:hAnsiTheme="minorEastAsia" w:cs="Courier" w:hint="eastAsia"/>
          <w:color w:val="000000"/>
          <w:kern w:val="0"/>
          <w:sz w:val="24"/>
          <w:szCs w:val="24"/>
        </w:rPr>
        <w:t>。</w:t>
      </w:r>
    </w:p>
    <w:p w:rsidR="00270EAC" w:rsidRPr="00CA0D83" w:rsidRDefault="00270EAC" w:rsidP="00CA0D83">
      <w:pPr>
        <w:autoSpaceDE w:val="0"/>
        <w:autoSpaceDN w:val="0"/>
        <w:adjustRightInd w:val="0"/>
        <w:spacing w:line="360" w:lineRule="auto"/>
        <w:jc w:val="left"/>
        <w:rPr>
          <w:rFonts w:asciiTheme="minorEastAsia" w:eastAsiaTheme="minorEastAsia" w:hAnsiTheme="minorEastAsia" w:cs="Courier"/>
          <w:color w:val="000000"/>
          <w:kern w:val="0"/>
          <w:sz w:val="24"/>
          <w:szCs w:val="24"/>
        </w:rPr>
      </w:pPr>
      <w:r w:rsidRPr="00CA0D83">
        <w:rPr>
          <w:rFonts w:asciiTheme="minorEastAsia" w:eastAsiaTheme="minorEastAsia" w:hAnsiTheme="minorEastAsia" w:cs="Courier"/>
          <w:color w:val="000000"/>
          <w:kern w:val="0"/>
          <w:sz w:val="24"/>
          <w:szCs w:val="24"/>
        </w:rPr>
        <w:t xml:space="preserve">    </w:t>
      </w:r>
      <w:r w:rsidRPr="00CA0D83">
        <w:rPr>
          <w:rFonts w:asciiTheme="minorEastAsia" w:eastAsiaTheme="minorEastAsia" w:hAnsiTheme="minorEastAsia" w:cs="Courier" w:hint="eastAsia"/>
          <w:color w:val="000000"/>
          <w:kern w:val="0"/>
          <w:sz w:val="24"/>
          <w:szCs w:val="24"/>
        </w:rPr>
        <w:t>在</w:t>
      </w:r>
      <w:r w:rsidRPr="00CA0D83">
        <w:rPr>
          <w:rFonts w:asciiTheme="minorEastAsia" w:eastAsiaTheme="minorEastAsia" w:hAnsiTheme="minorEastAsia" w:cs="Courier"/>
          <w:color w:val="000000"/>
          <w:kern w:val="0"/>
          <w:sz w:val="24"/>
          <w:szCs w:val="24"/>
        </w:rPr>
        <w:t>Weyl</w:t>
      </w:r>
      <w:r w:rsidRPr="00CA0D83">
        <w:rPr>
          <w:rFonts w:asciiTheme="minorEastAsia" w:eastAsiaTheme="minorEastAsia" w:hAnsiTheme="minorEastAsia" w:cs="Courier" w:hint="eastAsia"/>
          <w:color w:val="000000"/>
          <w:kern w:val="0"/>
          <w:sz w:val="24"/>
          <w:szCs w:val="24"/>
        </w:rPr>
        <w:t>型定理的判定问题上，研究者通过定义新的谱集，给出了</w:t>
      </w:r>
      <w:r w:rsidRPr="00CA0D83">
        <w:rPr>
          <w:rFonts w:asciiTheme="minorEastAsia" w:eastAsiaTheme="minorEastAsia" w:hAnsiTheme="minorEastAsia" w:cs="Courier"/>
          <w:color w:val="000000"/>
          <w:kern w:val="0"/>
          <w:sz w:val="24"/>
          <w:szCs w:val="24"/>
        </w:rPr>
        <w:t>Weyl</w:t>
      </w:r>
      <w:r w:rsidRPr="00CA0D83">
        <w:rPr>
          <w:rFonts w:asciiTheme="minorEastAsia" w:eastAsiaTheme="minorEastAsia" w:hAnsiTheme="minorEastAsia" w:cs="Courier" w:hint="eastAsia"/>
          <w:color w:val="000000"/>
          <w:kern w:val="0"/>
          <w:sz w:val="24"/>
          <w:szCs w:val="24"/>
        </w:rPr>
        <w:t>型定理新的判定方法，并将各种局部谱应用到了该问题的研究中。之后将</w:t>
      </w:r>
      <w:r w:rsidRPr="00CA0D83">
        <w:rPr>
          <w:rFonts w:asciiTheme="minorEastAsia" w:eastAsiaTheme="minorEastAsia" w:hAnsiTheme="minorEastAsia" w:cs="Courier"/>
          <w:color w:val="000000"/>
          <w:kern w:val="0"/>
          <w:sz w:val="24"/>
          <w:szCs w:val="24"/>
        </w:rPr>
        <w:t>Weyl</w:t>
      </w:r>
      <w:r w:rsidRPr="00CA0D83">
        <w:rPr>
          <w:rFonts w:asciiTheme="minorEastAsia" w:eastAsiaTheme="minorEastAsia" w:hAnsiTheme="minorEastAsia" w:cs="Courier" w:hint="eastAsia"/>
          <w:color w:val="000000"/>
          <w:kern w:val="0"/>
          <w:sz w:val="24"/>
          <w:szCs w:val="24"/>
        </w:rPr>
        <w:t>型定理的研究应用到了算子循环性的判定中，为算子循环性的判定提供了新的方法。这些方法和思想为著名的不变子空间问题的研究提供了一些新的思路。在</w:t>
      </w:r>
      <w:r w:rsidRPr="00CA0D83">
        <w:rPr>
          <w:rFonts w:asciiTheme="minorEastAsia" w:eastAsiaTheme="minorEastAsia" w:hAnsiTheme="minorEastAsia" w:cs="Courier"/>
          <w:color w:val="000000"/>
          <w:kern w:val="0"/>
          <w:sz w:val="24"/>
          <w:szCs w:val="24"/>
        </w:rPr>
        <w:t>Weyl</w:t>
      </w:r>
      <w:r w:rsidRPr="00CA0D83">
        <w:rPr>
          <w:rFonts w:asciiTheme="minorEastAsia" w:eastAsiaTheme="minorEastAsia" w:hAnsiTheme="minorEastAsia" w:cs="Courier" w:hint="eastAsia"/>
          <w:color w:val="000000"/>
          <w:kern w:val="0"/>
          <w:sz w:val="24"/>
          <w:szCs w:val="24"/>
        </w:rPr>
        <w:t>型定理的稳定性问题上，使用了精细的谱分解，根据半</w:t>
      </w:r>
      <w:r w:rsidRPr="00CA0D83">
        <w:rPr>
          <w:rFonts w:asciiTheme="minorEastAsia" w:eastAsiaTheme="minorEastAsia" w:hAnsiTheme="minorEastAsia" w:cs="Courier"/>
          <w:color w:val="000000"/>
          <w:kern w:val="0"/>
          <w:sz w:val="24"/>
          <w:szCs w:val="24"/>
        </w:rPr>
        <w:t>Fredholm</w:t>
      </w:r>
      <w:r w:rsidRPr="00CA0D83">
        <w:rPr>
          <w:rFonts w:asciiTheme="minorEastAsia" w:eastAsiaTheme="minorEastAsia" w:hAnsiTheme="minorEastAsia" w:cs="Courier" w:hint="eastAsia"/>
          <w:color w:val="000000"/>
          <w:kern w:val="0"/>
          <w:sz w:val="24"/>
          <w:szCs w:val="24"/>
        </w:rPr>
        <w:t>域的连通分支的个数，给出了算子满足</w:t>
      </w:r>
      <w:r w:rsidRPr="00CA0D83">
        <w:rPr>
          <w:rFonts w:asciiTheme="minorEastAsia" w:eastAsiaTheme="minorEastAsia" w:hAnsiTheme="minorEastAsia" w:cs="Courier"/>
          <w:color w:val="000000"/>
          <w:kern w:val="0"/>
          <w:sz w:val="24"/>
          <w:szCs w:val="24"/>
        </w:rPr>
        <w:t>Weyl</w:t>
      </w:r>
      <w:r w:rsidRPr="00CA0D83">
        <w:rPr>
          <w:rFonts w:asciiTheme="minorEastAsia" w:eastAsiaTheme="minorEastAsia" w:hAnsiTheme="minorEastAsia" w:cs="Courier" w:hint="eastAsia"/>
          <w:color w:val="000000"/>
          <w:kern w:val="0"/>
          <w:sz w:val="24"/>
          <w:szCs w:val="24"/>
        </w:rPr>
        <w:t>型定理的稳定性的特征。</w:t>
      </w:r>
    </w:p>
    <w:p w:rsidR="00270EAC" w:rsidRPr="00CA0D83" w:rsidRDefault="00270EAC" w:rsidP="00CA0D83">
      <w:pPr>
        <w:autoSpaceDE w:val="0"/>
        <w:autoSpaceDN w:val="0"/>
        <w:adjustRightInd w:val="0"/>
        <w:spacing w:line="360" w:lineRule="auto"/>
        <w:jc w:val="left"/>
        <w:rPr>
          <w:rFonts w:asciiTheme="minorEastAsia" w:eastAsiaTheme="minorEastAsia" w:hAnsiTheme="minorEastAsia" w:cs="Courier"/>
          <w:color w:val="000000"/>
          <w:kern w:val="0"/>
          <w:sz w:val="24"/>
          <w:szCs w:val="24"/>
        </w:rPr>
      </w:pPr>
      <w:r w:rsidRPr="00CA0D83">
        <w:rPr>
          <w:rFonts w:asciiTheme="minorEastAsia" w:eastAsiaTheme="minorEastAsia" w:hAnsiTheme="minorEastAsia" w:cs="Courier"/>
          <w:color w:val="000000"/>
          <w:kern w:val="0"/>
          <w:sz w:val="24"/>
          <w:szCs w:val="24"/>
        </w:rPr>
        <w:t xml:space="preserve">    </w:t>
      </w:r>
      <w:r w:rsidRPr="00CA0D83">
        <w:rPr>
          <w:rFonts w:asciiTheme="minorEastAsia" w:eastAsiaTheme="minorEastAsia" w:hAnsiTheme="minorEastAsia" w:cs="Courier" w:hint="eastAsia"/>
          <w:color w:val="000000"/>
          <w:kern w:val="0"/>
          <w:sz w:val="24"/>
          <w:szCs w:val="24"/>
        </w:rPr>
        <w:t>在保持局部谱的线性映射的刻画问题上，给出了保持单值扩张性质、保持特征值分布性质、保持拓扑一致降标等的线性映射的特征，揭示了保持不同局部谱的线性映射之间的关系，为一维量子纠错码的构造奠定了基础。</w:t>
      </w:r>
    </w:p>
    <w:p w:rsidR="00270EAC" w:rsidRPr="00CA0D83" w:rsidRDefault="00270EAC" w:rsidP="00CA0D83">
      <w:pPr>
        <w:autoSpaceDE w:val="0"/>
        <w:autoSpaceDN w:val="0"/>
        <w:adjustRightInd w:val="0"/>
        <w:spacing w:line="360" w:lineRule="auto"/>
        <w:jc w:val="left"/>
        <w:rPr>
          <w:rFonts w:asciiTheme="minorEastAsia" w:eastAsiaTheme="minorEastAsia" w:hAnsiTheme="minorEastAsia" w:cs="Courier"/>
          <w:color w:val="000000"/>
          <w:kern w:val="0"/>
          <w:sz w:val="24"/>
          <w:szCs w:val="24"/>
        </w:rPr>
      </w:pPr>
      <w:r w:rsidRPr="00CA0D83">
        <w:rPr>
          <w:rFonts w:asciiTheme="minorEastAsia" w:eastAsiaTheme="minorEastAsia" w:hAnsiTheme="minorEastAsia" w:cs="Courier"/>
          <w:color w:val="000000"/>
          <w:kern w:val="0"/>
          <w:sz w:val="24"/>
          <w:szCs w:val="24"/>
        </w:rPr>
        <w:t xml:space="preserve">    </w:t>
      </w:r>
      <w:r w:rsidRPr="00CA0D83">
        <w:rPr>
          <w:rFonts w:asciiTheme="minorEastAsia" w:eastAsiaTheme="minorEastAsia" w:hAnsiTheme="minorEastAsia" w:cs="Courier" w:hint="eastAsia"/>
          <w:color w:val="000000"/>
          <w:kern w:val="0"/>
          <w:sz w:val="24"/>
          <w:szCs w:val="24"/>
        </w:rPr>
        <w:t>在一维量子纠错码的构造以及量子运算的局部谱的稳定性研究上，研究了量子运算及其摄动的局部谱特征，从而给出了一维量子纠错码的构造及数学特征，并建立了量子信道和量子运算的不动点理论</w:t>
      </w:r>
      <w:r w:rsidRPr="00CA0D83">
        <w:rPr>
          <w:rFonts w:asciiTheme="minorEastAsia" w:eastAsiaTheme="minorEastAsia" w:hAnsiTheme="minorEastAsia" w:cs="Courier"/>
          <w:color w:val="000000"/>
          <w:kern w:val="0"/>
          <w:sz w:val="24"/>
          <w:szCs w:val="24"/>
        </w:rPr>
        <w:t>,</w:t>
      </w:r>
      <w:r w:rsidRPr="00CA0D83">
        <w:rPr>
          <w:rFonts w:asciiTheme="minorEastAsia" w:eastAsiaTheme="minorEastAsia" w:hAnsiTheme="minorEastAsia" w:cs="Courier" w:hint="eastAsia"/>
          <w:color w:val="000000"/>
          <w:kern w:val="0"/>
          <w:sz w:val="24"/>
          <w:szCs w:val="24"/>
        </w:rPr>
        <w:t>进一步考虑了量子运算的噪声算子生成的</w:t>
      </w:r>
      <w:r w:rsidRPr="00CA0D83">
        <w:rPr>
          <w:rFonts w:asciiTheme="minorEastAsia" w:eastAsiaTheme="minorEastAsia" w:hAnsiTheme="minorEastAsia" w:cs="Courier"/>
          <w:color w:val="000000"/>
          <w:kern w:val="0"/>
          <w:sz w:val="24"/>
          <w:szCs w:val="24"/>
        </w:rPr>
        <w:t>von Neumann</w:t>
      </w:r>
      <w:r w:rsidRPr="00CA0D83">
        <w:rPr>
          <w:rFonts w:asciiTheme="minorEastAsia" w:eastAsiaTheme="minorEastAsia" w:hAnsiTheme="minorEastAsia" w:cs="Courier" w:hint="eastAsia"/>
          <w:color w:val="000000"/>
          <w:kern w:val="0"/>
          <w:sz w:val="24"/>
          <w:szCs w:val="24"/>
        </w:rPr>
        <w:t>代数与对偶运算的不动点之间的联系。</w:t>
      </w:r>
    </w:p>
    <w:p w:rsidR="00270EAC" w:rsidRPr="00CA0D83" w:rsidRDefault="00270EAC" w:rsidP="00CA0D83">
      <w:pPr>
        <w:autoSpaceDE w:val="0"/>
        <w:autoSpaceDN w:val="0"/>
        <w:adjustRightInd w:val="0"/>
        <w:spacing w:line="360" w:lineRule="auto"/>
        <w:jc w:val="left"/>
        <w:rPr>
          <w:rFonts w:asciiTheme="minorEastAsia" w:eastAsiaTheme="minorEastAsia" w:hAnsiTheme="minorEastAsia" w:cs="Courier"/>
          <w:color w:val="000000"/>
          <w:kern w:val="0"/>
          <w:sz w:val="24"/>
          <w:szCs w:val="24"/>
        </w:rPr>
      </w:pPr>
      <w:r w:rsidRPr="00CA0D83">
        <w:rPr>
          <w:rFonts w:asciiTheme="minorEastAsia" w:eastAsiaTheme="minorEastAsia" w:hAnsiTheme="minorEastAsia" w:cs="Courier"/>
          <w:color w:val="000000"/>
          <w:kern w:val="0"/>
          <w:sz w:val="24"/>
          <w:szCs w:val="24"/>
        </w:rPr>
        <w:t xml:space="preserve">  </w:t>
      </w:r>
      <w:r w:rsidRPr="00CA0D83">
        <w:rPr>
          <w:rFonts w:asciiTheme="minorEastAsia" w:eastAsiaTheme="minorEastAsia" w:hAnsiTheme="minorEastAsia" w:cs="Courier" w:hint="eastAsia"/>
          <w:color w:val="000000"/>
          <w:kern w:val="0"/>
          <w:sz w:val="24"/>
          <w:szCs w:val="24"/>
        </w:rPr>
        <w:t xml:space="preserve">　以上研究中的关键技巧是将算子的谱进行了精细的分解，分别从算子的几何结构和它的谱性质两个方面，讨论所涉及的研究对象，需要很强的技巧性和创新的思路。通过本课题的研究，进一步丰富了量子信息理论的数学基础，为量子纠错理论建立了数学模型和提供了新的研究方法，促进了不同学科之间的交叉。</w:t>
      </w:r>
    </w:p>
    <w:p w:rsidR="00270EAC" w:rsidRPr="00CA0D83" w:rsidRDefault="00270EAC" w:rsidP="00CA0D83">
      <w:pPr>
        <w:autoSpaceDE w:val="0"/>
        <w:autoSpaceDN w:val="0"/>
        <w:adjustRightInd w:val="0"/>
        <w:spacing w:line="360" w:lineRule="auto"/>
        <w:ind w:firstLineChars="200" w:firstLine="480"/>
        <w:jc w:val="left"/>
        <w:rPr>
          <w:rFonts w:asciiTheme="minorEastAsia" w:eastAsiaTheme="minorEastAsia" w:hAnsiTheme="minorEastAsia" w:cs="Courier"/>
          <w:color w:val="000000"/>
          <w:kern w:val="0"/>
          <w:sz w:val="24"/>
          <w:szCs w:val="24"/>
        </w:rPr>
      </w:pPr>
      <w:r w:rsidRPr="00CA0D83">
        <w:rPr>
          <w:rFonts w:asciiTheme="minorEastAsia" w:eastAsiaTheme="minorEastAsia" w:hAnsiTheme="minorEastAsia" w:cs="Courier" w:hint="eastAsia"/>
          <w:color w:val="000000"/>
          <w:kern w:val="0"/>
          <w:sz w:val="24"/>
          <w:szCs w:val="24"/>
        </w:rPr>
        <w:t>本项研究得到了国内外很多同行专家的关注。据不完全统计，截止目前，本</w:t>
      </w:r>
      <w:r w:rsidRPr="00CA0D83">
        <w:rPr>
          <w:rFonts w:asciiTheme="minorEastAsia" w:eastAsiaTheme="minorEastAsia" w:hAnsiTheme="minorEastAsia" w:cs="Courier" w:hint="eastAsia"/>
          <w:color w:val="000000"/>
          <w:kern w:val="0"/>
          <w:sz w:val="24"/>
          <w:szCs w:val="24"/>
        </w:rPr>
        <w:lastRenderedPageBreak/>
        <w:t>项研究的论文已经被国内外同行专家公开引用</w:t>
      </w:r>
      <w:r w:rsidRPr="00CA0D83">
        <w:rPr>
          <w:rFonts w:asciiTheme="minorEastAsia" w:eastAsiaTheme="minorEastAsia" w:hAnsiTheme="minorEastAsia" w:cs="Courier"/>
          <w:color w:val="000000"/>
          <w:kern w:val="0"/>
          <w:sz w:val="24"/>
          <w:szCs w:val="24"/>
        </w:rPr>
        <w:t>67</w:t>
      </w:r>
      <w:r w:rsidRPr="00CA0D83">
        <w:rPr>
          <w:rFonts w:asciiTheme="minorEastAsia" w:eastAsiaTheme="minorEastAsia" w:hAnsiTheme="minorEastAsia" w:cs="Courier" w:hint="eastAsia"/>
          <w:color w:val="000000"/>
          <w:kern w:val="0"/>
          <w:sz w:val="24"/>
          <w:szCs w:val="24"/>
        </w:rPr>
        <w:t>次。</w:t>
      </w:r>
    </w:p>
    <w:p w:rsidR="00270EAC" w:rsidRPr="00CA0D83" w:rsidRDefault="00270EAC" w:rsidP="00CA0D83">
      <w:pPr>
        <w:spacing w:line="360" w:lineRule="auto"/>
        <w:rPr>
          <w:rFonts w:asciiTheme="minorEastAsia" w:eastAsiaTheme="minorEastAsia" w:hAnsiTheme="minorEastAsia" w:cs="仿宋_GB2312"/>
          <w:sz w:val="24"/>
          <w:szCs w:val="24"/>
        </w:rPr>
      </w:pPr>
      <w:r w:rsidRPr="00AB049A">
        <w:rPr>
          <w:rFonts w:asciiTheme="minorEastAsia" w:eastAsiaTheme="minorEastAsia" w:hAnsiTheme="minorEastAsia" w:cs="仿宋_GB2312" w:hint="eastAsia"/>
          <w:b/>
          <w:sz w:val="24"/>
          <w:szCs w:val="24"/>
        </w:rPr>
        <w:t>主要知识产权目录：</w:t>
      </w:r>
    </w:p>
    <w:p w:rsidR="00270EAC" w:rsidRPr="00CA0D83" w:rsidRDefault="00AC440B" w:rsidP="00AC440B">
      <w:pPr>
        <w:spacing w:line="360" w:lineRule="auto"/>
        <w:rPr>
          <w:rFonts w:asciiTheme="minorEastAsia" w:eastAsiaTheme="minorEastAsia" w:hAnsiTheme="minorEastAsia"/>
          <w:sz w:val="24"/>
          <w:szCs w:val="24"/>
        </w:rPr>
      </w:pPr>
      <w:r w:rsidRPr="00CA0D83">
        <w:rPr>
          <w:rFonts w:asciiTheme="minorEastAsia" w:eastAsiaTheme="minorEastAsia" w:hAnsiTheme="minorEastAsia"/>
          <w:sz w:val="24"/>
          <w:szCs w:val="24"/>
        </w:rPr>
        <w:t>[</w:t>
      </w:r>
      <w:r>
        <w:rPr>
          <w:rFonts w:asciiTheme="minorEastAsia" w:eastAsiaTheme="minorEastAsia" w:hAnsiTheme="minorEastAsia" w:hint="eastAsia"/>
          <w:sz w:val="24"/>
          <w:szCs w:val="24"/>
        </w:rPr>
        <w:t>1</w:t>
      </w:r>
      <w:r w:rsidR="00DE47F0">
        <w:rPr>
          <w:rFonts w:asciiTheme="minorEastAsia" w:eastAsiaTheme="minorEastAsia" w:hAnsiTheme="minorEastAsia"/>
          <w:sz w:val="24"/>
          <w:szCs w:val="24"/>
        </w:rPr>
        <w:t>]</w:t>
      </w:r>
      <w:r w:rsidR="00270EAC" w:rsidRPr="00CA0D83">
        <w:rPr>
          <w:rFonts w:asciiTheme="minorEastAsia" w:eastAsiaTheme="minorEastAsia" w:hAnsiTheme="minorEastAsia"/>
          <w:sz w:val="24"/>
          <w:szCs w:val="24"/>
        </w:rPr>
        <w:t xml:space="preserve">Xiaohong Cao and Bin Meng, Essential approximate point spectrum and Weyl’s theorem for operator matrices, Journal of Mathematical Analysis and Applications, 304 (2005), 759-771.                                                                                                                                                                                              </w:t>
      </w:r>
    </w:p>
    <w:p w:rsidR="00AC440B" w:rsidRDefault="00AC440B" w:rsidP="00AC440B">
      <w:pPr>
        <w:spacing w:line="360" w:lineRule="auto"/>
        <w:jc w:val="left"/>
        <w:rPr>
          <w:rFonts w:asciiTheme="minorEastAsia" w:eastAsiaTheme="minorEastAsia" w:hAnsiTheme="minorEastAsia"/>
          <w:sz w:val="24"/>
          <w:szCs w:val="24"/>
        </w:rPr>
      </w:pPr>
      <w:r w:rsidRPr="00CA0D83">
        <w:rPr>
          <w:rFonts w:asciiTheme="minorEastAsia" w:eastAsiaTheme="minorEastAsia" w:hAnsiTheme="minorEastAsia"/>
          <w:sz w:val="24"/>
          <w:szCs w:val="24"/>
        </w:rPr>
        <w:t>[2]</w:t>
      </w:r>
      <w:r w:rsidR="00270EAC" w:rsidRPr="00CA0D83">
        <w:rPr>
          <w:rFonts w:asciiTheme="minorEastAsia" w:eastAsiaTheme="minorEastAsia" w:hAnsiTheme="minorEastAsia"/>
          <w:sz w:val="24"/>
          <w:szCs w:val="24"/>
        </w:rPr>
        <w:t>Xiaohong Cao, Topological uniform descent and Weyl’s theorem, Linear Algebra and its Applications, 420(1)(2007), 175-182.</w:t>
      </w:r>
    </w:p>
    <w:p w:rsidR="00270EAC" w:rsidRPr="00CA0D83" w:rsidRDefault="00AC440B" w:rsidP="00AC440B">
      <w:pPr>
        <w:spacing w:line="360" w:lineRule="auto"/>
        <w:jc w:val="left"/>
        <w:rPr>
          <w:rFonts w:asciiTheme="minorEastAsia" w:eastAsiaTheme="minorEastAsia" w:hAnsiTheme="minorEastAsia"/>
          <w:sz w:val="24"/>
          <w:szCs w:val="24"/>
        </w:rPr>
      </w:pPr>
      <w:r w:rsidRPr="00CA0D83">
        <w:rPr>
          <w:rFonts w:asciiTheme="minorEastAsia" w:eastAsiaTheme="minorEastAsia" w:hAnsiTheme="minorEastAsia"/>
          <w:sz w:val="24"/>
          <w:szCs w:val="24"/>
        </w:rPr>
        <w:t>[</w:t>
      </w:r>
      <w:r>
        <w:rPr>
          <w:rFonts w:asciiTheme="minorEastAsia" w:eastAsiaTheme="minorEastAsia" w:hAnsiTheme="minorEastAsia" w:hint="eastAsia"/>
          <w:sz w:val="24"/>
          <w:szCs w:val="24"/>
        </w:rPr>
        <w:t>3</w:t>
      </w:r>
      <w:r w:rsidRPr="00CA0D83">
        <w:rPr>
          <w:rFonts w:asciiTheme="minorEastAsia" w:eastAsiaTheme="minorEastAsia" w:hAnsiTheme="minorEastAsia"/>
          <w:sz w:val="24"/>
          <w:szCs w:val="24"/>
        </w:rPr>
        <w:t>]</w:t>
      </w:r>
      <w:r w:rsidR="00270EAC" w:rsidRPr="00CA0D83">
        <w:rPr>
          <w:rFonts w:asciiTheme="minorEastAsia" w:eastAsiaTheme="minorEastAsia" w:hAnsiTheme="minorEastAsia"/>
          <w:sz w:val="24"/>
          <w:szCs w:val="24"/>
        </w:rPr>
        <w:t xml:space="preserve">Xiaohong Cao, Browder spectra for upper triangular operator matrices,    Journal of Mathematical Analysis and Applications, 342(2008), 477-484. </w:t>
      </w:r>
    </w:p>
    <w:p w:rsidR="00270EAC" w:rsidRPr="00CA0D83" w:rsidRDefault="00AC440B" w:rsidP="00AC440B">
      <w:pPr>
        <w:spacing w:line="360" w:lineRule="auto"/>
        <w:rPr>
          <w:rFonts w:asciiTheme="minorEastAsia" w:eastAsiaTheme="minorEastAsia" w:hAnsiTheme="minorEastAsia"/>
          <w:sz w:val="24"/>
          <w:szCs w:val="24"/>
        </w:rPr>
      </w:pPr>
      <w:r w:rsidRPr="00CA0D83">
        <w:rPr>
          <w:rFonts w:asciiTheme="minorEastAsia" w:eastAsiaTheme="minorEastAsia" w:hAnsiTheme="minorEastAsia"/>
          <w:sz w:val="24"/>
          <w:szCs w:val="24"/>
        </w:rPr>
        <w:t>[4]</w:t>
      </w:r>
      <w:r w:rsidR="00270EAC" w:rsidRPr="00CA0D83">
        <w:rPr>
          <w:rFonts w:asciiTheme="minorEastAsia" w:eastAsiaTheme="minorEastAsia" w:hAnsiTheme="minorEastAsia"/>
          <w:sz w:val="24"/>
          <w:szCs w:val="24"/>
        </w:rPr>
        <w:t>Chenhui Sun, Xiaohong Cao</w:t>
      </w:r>
      <w:r w:rsidR="00270EAC" w:rsidRPr="00CA0D83">
        <w:rPr>
          <w:rFonts w:asciiTheme="minorEastAsia" w:eastAsiaTheme="minorEastAsia" w:hAnsiTheme="minorEastAsia"/>
          <w:b/>
          <w:sz w:val="24"/>
          <w:szCs w:val="24"/>
        </w:rPr>
        <w:t xml:space="preserve"> </w:t>
      </w:r>
      <w:r w:rsidR="00270EAC" w:rsidRPr="00CA0D83">
        <w:rPr>
          <w:rFonts w:asciiTheme="minorEastAsia" w:eastAsiaTheme="minorEastAsia" w:hAnsiTheme="minorEastAsia"/>
          <w:sz w:val="24"/>
          <w:szCs w:val="24"/>
        </w:rPr>
        <w:t>and Lei Dai, Property (</w:t>
      </w:r>
      <w:r w:rsidR="00270EAC" w:rsidRPr="00CA0D83">
        <w:rPr>
          <w:rFonts w:asciiTheme="minorEastAsia" w:eastAsiaTheme="minorEastAsia" w:hAnsiTheme="minorEastAsia" w:hint="eastAsia"/>
          <w:position w:val="-6"/>
          <w:sz w:val="24"/>
          <w:szCs w:val="24"/>
        </w:rPr>
        <w:object w:dxaOrig="24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25pt" o:ole="">
            <v:imagedata r:id="rId6" o:title=""/>
          </v:shape>
          <o:OLEObject Type="Embed" ProgID="Equation.3" ShapeID="_x0000_i1025" DrawAspect="Content" ObjectID="_1455951756" r:id="rId7"/>
        </w:object>
      </w:r>
      <w:r w:rsidR="00270EAC" w:rsidRPr="00CA0D83">
        <w:rPr>
          <w:rFonts w:asciiTheme="minorEastAsia" w:eastAsiaTheme="minorEastAsia" w:hAnsiTheme="minorEastAsia"/>
          <w:sz w:val="24"/>
          <w:szCs w:val="24"/>
        </w:rPr>
        <w:t xml:space="preserve">) and Weyl type theorem, Journal of Mathematical Analysis and Applications, 363(1)(2010),1-6. </w:t>
      </w:r>
    </w:p>
    <w:p w:rsidR="00270EAC" w:rsidRPr="00CA0D83" w:rsidRDefault="00DE47F0" w:rsidP="00AC440B">
      <w:pPr>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[5]</w:t>
      </w:r>
      <w:r w:rsidR="00270EAC" w:rsidRPr="00CA0D83">
        <w:rPr>
          <w:rFonts w:asciiTheme="minorEastAsia" w:eastAsiaTheme="minorEastAsia" w:hAnsiTheme="minorEastAsia"/>
          <w:sz w:val="24"/>
          <w:szCs w:val="24"/>
        </w:rPr>
        <w:t xml:space="preserve">Xiaohong Cao, Hejia Zhang, Yanhua Zhang, Consistent invertibility and Weyl’s theorem, Journal of Mathematical Analysis and Applications, 369(2010), 258-264.  </w:t>
      </w:r>
    </w:p>
    <w:p w:rsidR="00270EAC" w:rsidRPr="00CA0D83" w:rsidRDefault="00AC440B" w:rsidP="00AC440B">
      <w:pPr>
        <w:tabs>
          <w:tab w:val="num" w:pos="720"/>
        </w:tabs>
        <w:adjustRightInd w:val="0"/>
        <w:snapToGrid w:val="0"/>
        <w:spacing w:line="360" w:lineRule="auto"/>
        <w:ind w:right="57"/>
        <w:rPr>
          <w:rFonts w:asciiTheme="minorEastAsia" w:eastAsiaTheme="minorEastAsia" w:hAnsiTheme="minorEastAsia"/>
          <w:sz w:val="24"/>
          <w:szCs w:val="24"/>
        </w:rPr>
      </w:pPr>
      <w:r w:rsidRPr="00CA0D83">
        <w:rPr>
          <w:rFonts w:asciiTheme="minorEastAsia" w:eastAsiaTheme="minorEastAsia" w:hAnsiTheme="minorEastAsia"/>
          <w:sz w:val="24"/>
          <w:szCs w:val="24"/>
        </w:rPr>
        <w:t>[6]</w:t>
      </w:r>
      <w:r w:rsidR="00270EAC" w:rsidRPr="00CA0D83">
        <w:rPr>
          <w:rFonts w:asciiTheme="minorEastAsia" w:eastAsiaTheme="minorEastAsia" w:hAnsiTheme="minorEastAsia"/>
          <w:sz w:val="24"/>
          <w:szCs w:val="24"/>
        </w:rPr>
        <w:t>Xiaohong Cao, Aifang Liu, Generalized Kato type and perturbastions for property (</w:t>
      </w:r>
      <w:r w:rsidR="00270EAC" w:rsidRPr="00CA0D83">
        <w:rPr>
          <w:rFonts w:asciiTheme="minorEastAsia" w:eastAsiaTheme="minorEastAsia" w:hAnsiTheme="minorEastAsia" w:hint="eastAsia"/>
          <w:position w:val="-6"/>
          <w:sz w:val="24"/>
          <w:szCs w:val="24"/>
        </w:rPr>
        <w:object w:dxaOrig="200" w:dyaOrig="200">
          <v:shape id="_x0000_i1026" type="#_x0000_t75" style="width:9.75pt;height:9.75pt" o:ole="">
            <v:imagedata r:id="rId8" o:title=""/>
          </v:shape>
          <o:OLEObject Type="Embed" ProgID="Equation.3" ShapeID="_x0000_i1026" DrawAspect="Content" ObjectID="_1455951757" r:id="rId9"/>
        </w:object>
      </w:r>
      <w:r w:rsidR="00270EAC" w:rsidRPr="00CA0D83">
        <w:rPr>
          <w:rFonts w:asciiTheme="minorEastAsia" w:eastAsiaTheme="minorEastAsia" w:hAnsiTheme="minorEastAsia"/>
          <w:sz w:val="24"/>
          <w:szCs w:val="24"/>
        </w:rPr>
        <w:t>), Linear Algebra and its Applications , 436(7)(2012), 2231-2239.</w:t>
      </w:r>
    </w:p>
    <w:p w:rsidR="00270EAC" w:rsidRPr="00CA0D83" w:rsidRDefault="00DE47F0" w:rsidP="00AC440B">
      <w:pPr>
        <w:tabs>
          <w:tab w:val="num" w:pos="720"/>
        </w:tabs>
        <w:adjustRightInd w:val="0"/>
        <w:snapToGrid w:val="0"/>
        <w:spacing w:line="360" w:lineRule="auto"/>
        <w:ind w:right="57"/>
        <w:rPr>
          <w:rFonts w:asciiTheme="minorEastAsia" w:eastAsiaTheme="minorEastAsia" w:hAnsiTheme="minorEastAsia"/>
          <w:sz w:val="24"/>
          <w:szCs w:val="24"/>
        </w:rPr>
      </w:pPr>
      <w:r>
        <w:rPr>
          <w:rFonts w:asciiTheme="minorEastAsia" w:eastAsiaTheme="minorEastAsia" w:hAnsiTheme="minorEastAsia"/>
          <w:sz w:val="24"/>
          <w:szCs w:val="24"/>
        </w:rPr>
        <w:t>[7]</w:t>
      </w:r>
      <w:r w:rsidR="00270EAC" w:rsidRPr="00CA0D83">
        <w:rPr>
          <w:rFonts w:asciiTheme="minorEastAsia" w:eastAsiaTheme="minorEastAsia" w:hAnsiTheme="minorEastAsia"/>
          <w:sz w:val="24"/>
          <w:szCs w:val="24"/>
        </w:rPr>
        <w:t xml:space="preserve">Xiaohong Cao, Lei Dai, The stability of the single valued extension property,Journal of Mathematical Analysis and Applications, 390(2012),368-373.                            </w:t>
      </w:r>
    </w:p>
    <w:p w:rsidR="00270EAC" w:rsidRPr="00CA0D83" w:rsidRDefault="00DE47F0" w:rsidP="00CA0D83">
      <w:pPr>
        <w:tabs>
          <w:tab w:val="num" w:pos="720"/>
        </w:tabs>
        <w:adjustRightInd w:val="0"/>
        <w:snapToGrid w:val="0"/>
        <w:spacing w:line="360" w:lineRule="auto"/>
        <w:ind w:right="57"/>
        <w:rPr>
          <w:rFonts w:asciiTheme="minorEastAsia" w:eastAsiaTheme="minorEastAsia" w:hAnsiTheme="minorEastAsia"/>
          <w:sz w:val="24"/>
          <w:szCs w:val="24"/>
        </w:rPr>
      </w:pPr>
      <w:r>
        <w:rPr>
          <w:rFonts w:asciiTheme="minorEastAsia" w:eastAsiaTheme="minorEastAsia" w:hAnsiTheme="minorEastAsia"/>
          <w:sz w:val="24"/>
          <w:szCs w:val="24"/>
        </w:rPr>
        <w:t>[8]</w:t>
      </w:r>
      <w:r w:rsidR="00270EAC" w:rsidRPr="00CA0D83">
        <w:rPr>
          <w:rFonts w:asciiTheme="minorEastAsia" w:eastAsiaTheme="minorEastAsia" w:hAnsiTheme="minorEastAsia" w:hint="eastAsia"/>
          <w:sz w:val="24"/>
          <w:szCs w:val="24"/>
        </w:rPr>
        <w:t>孟彬</w:t>
      </w:r>
      <w:r w:rsidR="00270EAC" w:rsidRPr="00CA0D83">
        <w:rPr>
          <w:rFonts w:asciiTheme="minorEastAsia" w:eastAsiaTheme="minorEastAsia" w:hAnsiTheme="minorEastAsia"/>
          <w:sz w:val="24"/>
          <w:szCs w:val="24"/>
        </w:rPr>
        <w:t xml:space="preserve">, </w:t>
      </w:r>
      <w:r w:rsidR="00270EAC" w:rsidRPr="00CA0D83">
        <w:rPr>
          <w:rFonts w:asciiTheme="minorEastAsia" w:eastAsiaTheme="minorEastAsia" w:hAnsiTheme="minorEastAsia" w:hint="eastAsia"/>
          <w:sz w:val="24"/>
          <w:szCs w:val="24"/>
        </w:rPr>
        <w:t>曹小红</w:t>
      </w:r>
      <w:r w:rsidR="00270EAC" w:rsidRPr="00CA0D83">
        <w:rPr>
          <w:rFonts w:asciiTheme="minorEastAsia" w:eastAsiaTheme="minorEastAsia" w:hAnsiTheme="minorEastAsia"/>
          <w:sz w:val="24"/>
          <w:szCs w:val="24"/>
        </w:rPr>
        <w:t xml:space="preserve">, </w:t>
      </w:r>
      <w:r w:rsidR="00270EAC" w:rsidRPr="00CA0D83">
        <w:rPr>
          <w:rFonts w:asciiTheme="minorEastAsia" w:eastAsiaTheme="minorEastAsia" w:hAnsiTheme="minorEastAsia" w:hint="eastAsia"/>
          <w:sz w:val="24"/>
          <w:szCs w:val="24"/>
        </w:rPr>
        <w:t>算子与框架教程</w:t>
      </w:r>
      <w:r w:rsidR="00270EAC" w:rsidRPr="00CA0D83">
        <w:rPr>
          <w:rFonts w:asciiTheme="minorEastAsia" w:eastAsiaTheme="minorEastAsia" w:hAnsiTheme="minorEastAsia"/>
          <w:sz w:val="24"/>
          <w:szCs w:val="24"/>
        </w:rPr>
        <w:t xml:space="preserve">, </w:t>
      </w:r>
      <w:r w:rsidR="00270EAC" w:rsidRPr="00CA0D83">
        <w:rPr>
          <w:rFonts w:asciiTheme="minorEastAsia" w:eastAsiaTheme="minorEastAsia" w:hAnsiTheme="minorEastAsia" w:hint="eastAsia"/>
          <w:sz w:val="24"/>
          <w:szCs w:val="24"/>
        </w:rPr>
        <w:t>高等教育出版社</w:t>
      </w:r>
      <w:r w:rsidR="00270EAC" w:rsidRPr="00CA0D83">
        <w:rPr>
          <w:rFonts w:asciiTheme="minorEastAsia" w:eastAsiaTheme="minorEastAsia" w:hAnsiTheme="minorEastAsia"/>
          <w:sz w:val="24"/>
          <w:szCs w:val="24"/>
        </w:rPr>
        <w:t>, 26</w:t>
      </w:r>
      <w:r w:rsidR="00270EAC" w:rsidRPr="00CA0D83">
        <w:rPr>
          <w:rFonts w:asciiTheme="minorEastAsia" w:eastAsiaTheme="minorEastAsia" w:hAnsiTheme="minorEastAsia" w:hint="eastAsia"/>
          <w:sz w:val="24"/>
          <w:szCs w:val="24"/>
        </w:rPr>
        <w:t>万字</w:t>
      </w:r>
      <w:r w:rsidR="00270EAC" w:rsidRPr="00CA0D83">
        <w:rPr>
          <w:rFonts w:asciiTheme="minorEastAsia" w:eastAsiaTheme="minorEastAsia" w:hAnsiTheme="minorEastAsia"/>
          <w:sz w:val="24"/>
          <w:szCs w:val="24"/>
        </w:rPr>
        <w:t>, 2010.</w:t>
      </w:r>
    </w:p>
    <w:p w:rsidR="00270EAC" w:rsidRPr="00A4766D" w:rsidRDefault="00270EAC" w:rsidP="001938A0"/>
    <w:sectPr w:rsidR="00270EAC" w:rsidRPr="00A4766D" w:rsidSect="00301B8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598D" w:rsidRDefault="000E598D" w:rsidP="001938A0">
      <w:r>
        <w:separator/>
      </w:r>
    </w:p>
  </w:endnote>
  <w:endnote w:type="continuationSeparator" w:id="1">
    <w:p w:rsidR="000E598D" w:rsidRDefault="000E598D" w:rsidP="001938A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598D" w:rsidRDefault="000E598D" w:rsidP="001938A0">
      <w:r>
        <w:separator/>
      </w:r>
    </w:p>
  </w:footnote>
  <w:footnote w:type="continuationSeparator" w:id="1">
    <w:p w:rsidR="000E598D" w:rsidRDefault="000E598D" w:rsidP="001938A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38A0"/>
    <w:rsid w:val="000A72E9"/>
    <w:rsid w:val="000E598D"/>
    <w:rsid w:val="00185869"/>
    <w:rsid w:val="001938A0"/>
    <w:rsid w:val="002667A5"/>
    <w:rsid w:val="00270EAC"/>
    <w:rsid w:val="00301B88"/>
    <w:rsid w:val="00306EB3"/>
    <w:rsid w:val="003856CD"/>
    <w:rsid w:val="0041053E"/>
    <w:rsid w:val="004A45CA"/>
    <w:rsid w:val="004C515D"/>
    <w:rsid w:val="004D7F92"/>
    <w:rsid w:val="00536BC5"/>
    <w:rsid w:val="005909E5"/>
    <w:rsid w:val="005B2A7D"/>
    <w:rsid w:val="005B41C6"/>
    <w:rsid w:val="006332B2"/>
    <w:rsid w:val="006B7B30"/>
    <w:rsid w:val="007C2DBA"/>
    <w:rsid w:val="00923C06"/>
    <w:rsid w:val="0097750E"/>
    <w:rsid w:val="009B40A8"/>
    <w:rsid w:val="00A454E9"/>
    <w:rsid w:val="00A4766D"/>
    <w:rsid w:val="00AB049A"/>
    <w:rsid w:val="00AC440B"/>
    <w:rsid w:val="00AD06FC"/>
    <w:rsid w:val="00B55620"/>
    <w:rsid w:val="00B804DC"/>
    <w:rsid w:val="00C91D9A"/>
    <w:rsid w:val="00CA0D83"/>
    <w:rsid w:val="00CC4838"/>
    <w:rsid w:val="00D25403"/>
    <w:rsid w:val="00D610BB"/>
    <w:rsid w:val="00DA1771"/>
    <w:rsid w:val="00DD21A1"/>
    <w:rsid w:val="00DE47F0"/>
    <w:rsid w:val="00EB0EC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B8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1938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1938A0"/>
    <w:rPr>
      <w:rFonts w:cs="Times New Roman"/>
      <w:sz w:val="18"/>
      <w:szCs w:val="18"/>
    </w:rPr>
  </w:style>
  <w:style w:type="paragraph" w:styleId="a4">
    <w:name w:val="footer"/>
    <w:basedOn w:val="a"/>
    <w:link w:val="Char0"/>
    <w:uiPriority w:val="99"/>
    <w:semiHidden/>
    <w:rsid w:val="001938A0"/>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1938A0"/>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Pages>
  <Words>344</Words>
  <Characters>1964</Characters>
  <Application>Microsoft Office Word</Application>
  <DocSecurity>0</DocSecurity>
  <Lines>16</Lines>
  <Paragraphs>4</Paragraphs>
  <ScaleCrop>false</ScaleCrop>
  <Company>中国石油大学</Company>
  <LinksUpToDate>false</LinksUpToDate>
  <CharactersWithSpaces>2304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项目公示信息</dc:title>
  <dc:subject/>
  <dc:creator>王彩红</dc:creator>
  <cp:keywords/>
  <dc:description/>
  <cp:lastModifiedBy>王彩红</cp:lastModifiedBy>
  <cp:revision>26</cp:revision>
  <dcterms:created xsi:type="dcterms:W3CDTF">2014-03-04T02:21:00Z</dcterms:created>
  <dcterms:modified xsi:type="dcterms:W3CDTF">2014-03-10T02:16:00Z</dcterms:modified>
</cp:coreProperties>
</file>